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CB1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F57614" w:rsidRPr="00321BCC" w:rsidRDefault="00F57614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F57614" w:rsidRPr="00321BCC" w:rsidRDefault="00F57614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F57614" w:rsidRPr="00321BCC" w:rsidRDefault="00F57614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F57614" w:rsidRPr="00321BCC" w:rsidRDefault="00F57614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F57614" w:rsidRPr="00321BCC" w:rsidRDefault="00F57614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F57614" w:rsidRPr="00321BCC" w:rsidRDefault="00F57614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F57614" w:rsidRPr="00321BCC" w:rsidRDefault="00F57614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F57614" w:rsidRPr="00321BCC" w:rsidRDefault="00F57614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 Zavoral, generální ředitel Českého rozhlasu</w:t>
      </w:r>
    </w:p>
    <w:p w14:paraId="5CD5CB22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D452BB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77777777" w:rsidR="004577E7" w:rsidRPr="00434FCA" w:rsidRDefault="004577E7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CD5CB2E" w14:textId="4F30DBE0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277EDA20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D452BB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5CD5CB35" w14:textId="630A239A" w:rsidR="00E9560E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5CD5CB3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5CD5CB37" w14:textId="77777777" w:rsidR="00182D39" w:rsidRPr="006D0812" w:rsidRDefault="00182D39" w:rsidP="00BA16BB"/>
    <w:p w14:paraId="5CD5CB38" w14:textId="53B01894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ustanovením§</w:t>
      </w:r>
      <w:r w:rsidR="00D85488">
        <w:t xml:space="preserve"> </w:t>
      </w:r>
      <w:r w:rsidR="00182D39" w:rsidRPr="006D0812">
        <w:t xml:space="preserve"> 2079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4C887109" w14:textId="5BB17875" w:rsidR="002E7FAD" w:rsidRDefault="00BA16BB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2E7FAD">
        <w:t>:</w:t>
      </w:r>
      <w:r w:rsidR="00884C6F" w:rsidRPr="006D0812">
        <w:t xml:space="preserve"> </w:t>
      </w:r>
    </w:p>
    <w:p w14:paraId="1D131476" w14:textId="44E1A8B5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a)</w:t>
      </w:r>
      <w:r w:rsidR="00162063">
        <w:t xml:space="preserve"> </w:t>
      </w:r>
      <w:r>
        <w:t xml:space="preserve">odevzdat kupujícímu </w:t>
      </w:r>
      <w:r w:rsidR="00C80FA4" w:rsidRPr="004C288B">
        <w:rPr>
          <w:rFonts w:cs="Arial"/>
          <w:b/>
          <w:szCs w:val="20"/>
        </w:rPr>
        <w:t>obměn</w:t>
      </w:r>
      <w:r w:rsidR="00C80FA4">
        <w:rPr>
          <w:rFonts w:cs="Arial"/>
          <w:b/>
          <w:szCs w:val="20"/>
        </w:rPr>
        <w:t>u</w:t>
      </w:r>
      <w:r w:rsidR="00C80FA4" w:rsidRPr="004C288B">
        <w:rPr>
          <w:rFonts w:cs="Arial"/>
          <w:b/>
          <w:szCs w:val="20"/>
        </w:rPr>
        <w:t xml:space="preserve"> stávajících</w:t>
      </w:r>
      <w:r w:rsidR="00C80FA4">
        <w:rPr>
          <w:rFonts w:cs="Arial"/>
          <w:b/>
          <w:szCs w:val="20"/>
        </w:rPr>
        <w:t xml:space="preserve"> přepínačů Cisco </w:t>
      </w:r>
      <w:proofErr w:type="spellStart"/>
      <w:r w:rsidR="00C80FA4">
        <w:rPr>
          <w:rFonts w:cs="Arial"/>
          <w:b/>
          <w:szCs w:val="20"/>
        </w:rPr>
        <w:t>Catalyst</w:t>
      </w:r>
      <w:proofErr w:type="spellEnd"/>
      <w:r w:rsidR="00C80FA4">
        <w:rPr>
          <w:rFonts w:cs="Arial"/>
          <w:b/>
          <w:szCs w:val="20"/>
        </w:rPr>
        <w:t xml:space="preserve"> 6509 novým hardwarem </w:t>
      </w:r>
      <w:r w:rsidR="009B1480" w:rsidRPr="006D0812">
        <w:t xml:space="preserve">(dále také jako „zboží“) </w:t>
      </w:r>
      <w:r w:rsidR="00ED1C21" w:rsidRPr="002E7FAD">
        <w:rPr>
          <w:b/>
        </w:rPr>
        <w:t>včetně</w:t>
      </w:r>
      <w:r w:rsidR="009B1480" w:rsidRPr="002E7FAD">
        <w:rPr>
          <w:b/>
        </w:rPr>
        <w:t xml:space="preserve"> provedení</w:t>
      </w:r>
      <w:r w:rsidR="00ED1C21" w:rsidRPr="002E7FAD">
        <w:rPr>
          <w:b/>
        </w:rPr>
        <w:t xml:space="preserve"> instalačních a konfiguračních prací</w:t>
      </w:r>
      <w:r w:rsidR="009B1480" w:rsidRPr="002E7FAD">
        <w:rPr>
          <w:b/>
        </w:rPr>
        <w:t xml:space="preserve"> </w:t>
      </w:r>
      <w:r w:rsidR="009B1480" w:rsidRPr="008F2B59">
        <w:t>(dále také jen jako „práce“)</w:t>
      </w:r>
      <w:r>
        <w:t xml:space="preserve"> a umožnit mu nabýt k nim vlastnické právo;</w:t>
      </w:r>
    </w:p>
    <w:p w14:paraId="399F6AAF" w14:textId="3FB2EEEF" w:rsidR="002E7FAD" w:rsidRDefault="002E7FAD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b) zpracovat pro kupujícího</w:t>
      </w:r>
      <w:r w:rsidR="00610154">
        <w:t xml:space="preserve"> </w:t>
      </w:r>
      <w:proofErr w:type="spellStart"/>
      <w:r w:rsidRPr="008F2B59">
        <w:rPr>
          <w:b/>
        </w:rPr>
        <w:t>relizační</w:t>
      </w:r>
      <w:proofErr w:type="spellEnd"/>
      <w:r w:rsidRPr="008F2B59">
        <w:rPr>
          <w:b/>
        </w:rPr>
        <w:t xml:space="preserve"> projekt a </w:t>
      </w:r>
      <w:proofErr w:type="spellStart"/>
      <w:r w:rsidRPr="008F2B59">
        <w:rPr>
          <w:b/>
        </w:rPr>
        <w:t>dokumentci</w:t>
      </w:r>
      <w:proofErr w:type="spellEnd"/>
      <w:r w:rsidRPr="008F2B59">
        <w:rPr>
          <w:b/>
        </w:rPr>
        <w:t xml:space="preserve"> cílového stavu dle požadavků kupujícího</w:t>
      </w:r>
      <w:r>
        <w:t xml:space="preserve"> (dále také jen „projekt“) a umožnit mu nabýt k nim vlastnické právo</w:t>
      </w:r>
      <w:r w:rsidR="00F22F8D">
        <w:t xml:space="preserve"> a licenci projekt užít</w:t>
      </w:r>
      <w:r>
        <w:t>;</w:t>
      </w:r>
    </w:p>
    <w:p w14:paraId="4F58D8C9" w14:textId="11012CE1" w:rsidR="00D30458" w:rsidRDefault="00D30458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 xml:space="preserve">c) poskytovat </w:t>
      </w:r>
      <w:r w:rsidRPr="00382F2E">
        <w:rPr>
          <w:b/>
        </w:rPr>
        <w:t>podporu</w:t>
      </w:r>
      <w:r>
        <w:t xml:space="preserve"> </w:t>
      </w:r>
      <w:r w:rsidRPr="00382F2E">
        <w:rPr>
          <w:b/>
        </w:rPr>
        <w:t>k</w:t>
      </w:r>
      <w:r w:rsidR="00FE26D2">
        <w:rPr>
          <w:b/>
        </w:rPr>
        <w:t>e zboží</w:t>
      </w:r>
      <w:r w:rsidRPr="00382F2E">
        <w:rPr>
          <w:b/>
        </w:rPr>
        <w:t xml:space="preserve"> </w:t>
      </w:r>
      <w:r w:rsidR="005535AE" w:rsidRPr="00382F2E">
        <w:rPr>
          <w:b/>
        </w:rPr>
        <w:t xml:space="preserve">na dobu </w:t>
      </w:r>
      <w:r w:rsidR="004E25F9">
        <w:rPr>
          <w:b/>
        </w:rPr>
        <w:t>1 roku</w:t>
      </w:r>
      <w:r w:rsidR="00036745">
        <w:rPr>
          <w:b/>
        </w:rPr>
        <w:t xml:space="preserve"> </w:t>
      </w:r>
      <w:r>
        <w:t>v rozsahu a za podmínek dle této smlouvy (dále jen „podpora“);</w:t>
      </w:r>
    </w:p>
    <w:p w14:paraId="11D74550" w14:textId="75237AC4" w:rsidR="00F22F8D" w:rsidRDefault="00D452BB" w:rsidP="008F2B59">
      <w:pPr>
        <w:pStyle w:val="ListNumber-ContractCzechRadio"/>
        <w:numPr>
          <w:ilvl w:val="0"/>
          <w:numId w:val="0"/>
        </w:numPr>
        <w:ind w:left="312"/>
        <w:jc w:val="both"/>
      </w:pPr>
      <w:r>
        <w:t>(zboží, práce</w:t>
      </w:r>
      <w:r w:rsidR="00D30458">
        <w:t>,</w:t>
      </w:r>
      <w:r>
        <w:t xml:space="preserve"> proj</w:t>
      </w:r>
      <w:r w:rsidR="00F22F8D">
        <w:t>e</w:t>
      </w:r>
      <w:r>
        <w:t>k</w:t>
      </w:r>
      <w:r w:rsidR="00F22F8D">
        <w:t>t</w:t>
      </w:r>
      <w:r w:rsidR="00D30458">
        <w:t xml:space="preserve"> a podpora</w:t>
      </w:r>
      <w:r w:rsidR="00F22F8D">
        <w:t xml:space="preserve"> jsou dá</w:t>
      </w:r>
      <w:r>
        <w:t>le souhrnně označ</w:t>
      </w:r>
      <w:r w:rsidR="00F22F8D">
        <w:t>ovány jako „</w:t>
      </w:r>
      <w:r w:rsidR="00F22F8D" w:rsidRPr="00F22F8D">
        <w:t>plnění“)</w:t>
      </w:r>
    </w:p>
    <w:p w14:paraId="5CD5CB3A" w14:textId="4BA6DC8B" w:rsidR="00BA16BB" w:rsidRDefault="00884C6F" w:rsidP="008F2B59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 xml:space="preserve">a </w:t>
      </w:r>
      <w:r w:rsidR="00E4753C" w:rsidRPr="006D0812">
        <w:t xml:space="preserve">povinnost </w:t>
      </w:r>
      <w:r w:rsidRPr="006D0812">
        <w:t xml:space="preserve">kupujícího </w:t>
      </w:r>
      <w:r w:rsidR="005535AE">
        <w:t xml:space="preserve">plnění </w:t>
      </w:r>
      <w:r w:rsidRPr="006D0812">
        <w:t>převzít a zaplatit prodávajícímu cenu</w:t>
      </w:r>
      <w:r w:rsidR="005535AE">
        <w:t xml:space="preserve"> za plnění</w:t>
      </w:r>
      <w:r w:rsidR="002E7FAD">
        <w:t>; to vše za podmínek stanovených touto smlouvou</w:t>
      </w:r>
      <w:r w:rsidRPr="006D0812">
        <w:t xml:space="preserve">. </w:t>
      </w:r>
    </w:p>
    <w:p w14:paraId="4D26A43D" w14:textId="0A015511" w:rsidR="00F22F8D" w:rsidRDefault="00F22F8D">
      <w:pPr>
        <w:pStyle w:val="ListNumber-ContractCzechRadio"/>
        <w:jc w:val="both"/>
      </w:pPr>
      <w:r>
        <w:lastRenderedPageBreak/>
        <w:t xml:space="preserve">Bližší specifikace </w:t>
      </w:r>
      <w:r w:rsidR="00D452BB">
        <w:t>plnění, jakož i způsob a podmín</w:t>
      </w:r>
      <w:r>
        <w:t>k</w:t>
      </w:r>
      <w:r w:rsidR="00D452BB">
        <w:t>y</w:t>
      </w:r>
      <w:r>
        <w:t xml:space="preserve"> 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5CD5CB3C" w14:textId="58979787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  <w:r w:rsidR="00CD573D">
        <w:rPr>
          <w:szCs w:val="20"/>
        </w:rPr>
        <w:t xml:space="preserve">Část plnění, jež má být odevzdána kupujícímu elektronicky, bude odevzdána na e-mailovou adresu: </w:t>
      </w:r>
      <w:proofErr w:type="spellStart"/>
      <w:r w:rsidR="008F2B59">
        <w:rPr>
          <w:szCs w:val="20"/>
        </w:rPr>
        <w:t>Jiri.Trunecek</w:t>
      </w:r>
      <w:proofErr w:type="spellEnd"/>
      <w:r w:rsidR="008F2B59">
        <w:rPr>
          <w:szCs w:val="20"/>
          <w:lang w:val="en-US"/>
        </w:rPr>
        <w:t>@rozhlas.cz</w:t>
      </w:r>
      <w:r w:rsidR="00CD573D">
        <w:rPr>
          <w:szCs w:val="20"/>
        </w:rPr>
        <w:t>.</w:t>
      </w:r>
    </w:p>
    <w:p w14:paraId="5CD5CB3D" w14:textId="0B4BF28A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Prodávající se zavazuje odevzdat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Pr="00A72EF8">
        <w:rPr>
          <w:szCs w:val="20"/>
        </w:rPr>
        <w:t xml:space="preserve">v místě plnění na vlastní náklad nejpozději do </w:t>
      </w:r>
      <w:r w:rsidR="00104C08" w:rsidRPr="008F2B59">
        <w:rPr>
          <w:b/>
          <w:szCs w:val="20"/>
        </w:rPr>
        <w:t xml:space="preserve">8 týdnů od </w:t>
      </w:r>
      <w:r w:rsidR="00D452BB">
        <w:rPr>
          <w:b/>
          <w:szCs w:val="20"/>
        </w:rPr>
        <w:t>účinnosti</w:t>
      </w:r>
      <w:r w:rsidR="00104C08" w:rsidRPr="008F2B59">
        <w:rPr>
          <w:b/>
          <w:szCs w:val="20"/>
        </w:rPr>
        <w:t xml:space="preserve"> této smlouvy</w:t>
      </w:r>
      <w:r w:rsidR="009B1480" w:rsidRPr="00A72EF8">
        <w:rPr>
          <w:szCs w:val="20"/>
        </w:rPr>
        <w:t>, přičemž do této doby je povinen provést i nezbytnou instalaci a konfiguraci zboží do prostředí kupujícího</w:t>
      </w:r>
      <w:r w:rsidR="004E25F9">
        <w:rPr>
          <w:szCs w:val="20"/>
        </w:rPr>
        <w:t>, jakož i zahájit poskytování podpory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>oznámit kupujícímu nejméně tři 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1A44A019" w14:textId="09B3DA89" w:rsidR="00CD573D" w:rsidRPr="004545D6" w:rsidRDefault="00CD573D" w:rsidP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je povinen při provádění </w:t>
      </w:r>
      <w:r>
        <w:t>prací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>, se kterými byl seznámen. Přílohou k této smlouvě jsou „Podmínky provádění činností externích osob v objektech ČRo“, které je</w:t>
      </w:r>
      <w:r>
        <w:t xml:space="preserve"> prodávající</w:t>
      </w:r>
      <w:r w:rsidRPr="004545D6">
        <w:t xml:space="preserve"> povinen dodržovat</w:t>
      </w:r>
      <w:r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5B6790BE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provádění </w:t>
      </w:r>
      <w:r w:rsidR="005535AE">
        <w:t>plnění</w:t>
      </w:r>
      <w:r w:rsidR="005535AE" w:rsidRPr="004545D6">
        <w:t xml:space="preserve"> </w:t>
      </w:r>
      <w:r w:rsidRPr="004545D6">
        <w:t>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02D68E2F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  <w:r w:rsidR="004B0EE5">
        <w:t xml:space="preserve"> Specifikace ceny je uvedena v příloze této smlouvy.</w:t>
      </w:r>
    </w:p>
    <w:p w14:paraId="5CD5CB40" w14:textId="083EF1D4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dle předchozího odstavce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15FB15A1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="004E25F9">
        <w:t xml:space="preserve">dle této smlouvy </w:t>
      </w:r>
      <w:r w:rsidRPr="006D0812">
        <w:t>na základě řádného daňového dokladu (faktury)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5CD5CB42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 jejího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CD5CB43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lastRenderedPageBreak/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4966C6">
        <w:t>, licence</w:t>
      </w:r>
    </w:p>
    <w:p w14:paraId="5CD5CB45" w14:textId="1AEF8A9A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</w:t>
      </w:r>
      <w:r w:rsidR="005535AE">
        <w:t>všech práv</w:t>
      </w:r>
      <w:r w:rsidR="008755CA" w:rsidRPr="006D0812">
        <w:t xml:space="preserve"> 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5535AE">
        <w:t xml:space="preserve">plnění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11E10D18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a projektu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>
        <w:t>s nimi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4355E01D" w:rsidR="009B1480" w:rsidRDefault="009B1480" w:rsidP="00A57352">
      <w:pPr>
        <w:pStyle w:val="ListLetter-ContractCzechRadio"/>
      </w:pPr>
      <w:r>
        <w:t>provedení instalačních a konfiguračních prací</w:t>
      </w:r>
      <w:r>
        <w:rPr>
          <w:rFonts w:cs="Arial"/>
        </w:rPr>
        <w:t>;</w:t>
      </w:r>
    </w:p>
    <w:p w14:paraId="7D89156E" w14:textId="6C0C97F4" w:rsidR="005535AE" w:rsidRDefault="005535AE" w:rsidP="00382F2E">
      <w:pPr>
        <w:pStyle w:val="ListLetter-ContractCzechRadio"/>
        <w:spacing w:after="0"/>
      </w:pPr>
      <w:r>
        <w:t>zahájení poskytování podpory;</w:t>
      </w:r>
      <w:r w:rsidR="00C8196E">
        <w:t xml:space="preserve"> </w:t>
      </w:r>
    </w:p>
    <w:p w14:paraId="606A60B3" w14:textId="77777777" w:rsidR="00FE26D2" w:rsidRDefault="00FE26D2" w:rsidP="00382F2E">
      <w:pPr>
        <w:pStyle w:val="ListLetter-ContractCzechRadio"/>
        <w:numPr>
          <w:ilvl w:val="0"/>
          <w:numId w:val="0"/>
        </w:numPr>
        <w:spacing w:after="0"/>
        <w:ind w:left="624"/>
      </w:pPr>
    </w:p>
    <w:p w14:paraId="5CD5CB49" w14:textId="4864DC75" w:rsidR="008D4999" w:rsidRPr="006D0812" w:rsidRDefault="008D4999" w:rsidP="00FE26D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3F328421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 xml:space="preserve">přechází na kupujícího současně s </w:t>
      </w:r>
      <w:r w:rsidR="005535AE">
        <w:t>odevzdáním plněním</w:t>
      </w:r>
      <w:r w:rsidRPr="006D0812">
        <w:t xml:space="preserve">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0568F43E" w14:textId="2B199E82" w:rsidR="00C91A45" w:rsidRPr="00224433" w:rsidRDefault="00C91A45" w:rsidP="008F2B59">
      <w:pPr>
        <w:pStyle w:val="ListNumber-ContractCzechRadio"/>
        <w:jc w:val="both"/>
      </w:pPr>
      <w:r>
        <w:t xml:space="preserve">Smluvní strany se dohodly, že okamžikem odevzdání projektu kupujícímu dle odstavce </w:t>
      </w:r>
      <w:r w:rsidR="004966C6">
        <w:t>2 tohoto článku</w:t>
      </w:r>
      <w:r>
        <w:t xml:space="preserve"> smlouvy prodávající zároveň poskytuje kupujícímu výhradní oprávnění (licenci) projekt užít, a to všemi způsoby, všemi formami a všemi technickými prostředky. Licence se poskytuje na dobu trvání majetkových práv prodávajícího k projektu, bez místního a množstevního omezení. Kupující není povinen licenci využít.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03EAC8CB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A72EF8">
        <w:t xml:space="preserve">(vč. provedení instalačních a konfiguračních </w:t>
      </w:r>
      <w:proofErr w:type="gramStart"/>
      <w:r w:rsidR="00A72EF8">
        <w:t>prací</w:t>
      </w:r>
      <w:r w:rsidR="005535AE">
        <w:t xml:space="preserve">  a zahájení</w:t>
      </w:r>
      <w:proofErr w:type="gramEnd"/>
      <w:r w:rsidR="005535AE">
        <w:t xml:space="preserve"> poskytování podpory</w:t>
      </w:r>
      <w:r w:rsidR="00A72EF8">
        <w:t xml:space="preserve">)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7027AD86" w14:textId="49127FC4" w:rsidR="00CD573D" w:rsidRPr="006D0812" w:rsidRDefault="00CD573D" w:rsidP="00382F2E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5CD5CB4D" w14:textId="40E5E6A4" w:rsidR="00A11BC0" w:rsidRPr="006D0812" w:rsidRDefault="00C91A45" w:rsidP="00A11BC0">
      <w:pPr>
        <w:pStyle w:val="Heading-Number-ContractCzechRadio"/>
      </w:pPr>
      <w:r>
        <w:lastRenderedPageBreak/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65BC66FB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provádění </w:t>
      </w:r>
      <w:r w:rsidR="005535AE">
        <w:t xml:space="preserve">prací </w:t>
      </w:r>
      <w:r w:rsidRPr="00214A85">
        <w:t xml:space="preserve">postupovat v souladu s platnými právními předpisy a českými technickými normami ČSN. </w:t>
      </w:r>
      <w:r>
        <w:t xml:space="preserve"> </w:t>
      </w:r>
    </w:p>
    <w:p w14:paraId="5CD5CB4F" w14:textId="121AD479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237AE5">
        <w:t>plnění</w:t>
      </w:r>
      <w:r w:rsidR="00A72EF8">
        <w:t xml:space="preserve"> </w:t>
      </w:r>
      <w:r w:rsidRPr="006D0812">
        <w:t xml:space="preserve">záruku za jakost v délce </w:t>
      </w:r>
      <w:r w:rsidR="008F2B59">
        <w:t>12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78079AD6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237AE5">
        <w:t xml:space="preserve">plněním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</w:t>
      </w:r>
      <w:proofErr w:type="gramStart"/>
      <w:r w:rsidRPr="006D0812">
        <w:t>na objeví</w:t>
      </w:r>
      <w:proofErr w:type="gramEnd"/>
      <w:r w:rsidRPr="006D0812">
        <w:t xml:space="preserve">, a to nejpozději do deseti 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5CD5CB51" w14:textId="56CBFF73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4A1BC83E" w:rsidR="00540BF4" w:rsidRDefault="00540BF4" w:rsidP="00540BF4">
      <w:pPr>
        <w:pStyle w:val="ListLetter-ContractCzechRadio"/>
        <w:jc w:val="both"/>
      </w:pPr>
      <w:r>
        <w:t xml:space="preserve">při zpracování projektu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6EE4480" w14:textId="0E252A09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>
        <w:t>ke zpracování projektu</w:t>
      </w:r>
      <w:r w:rsidRPr="00610D0E">
        <w:t xml:space="preserve"> 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00BF8D4B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>
        <w:t>zpracování projektu</w:t>
      </w:r>
      <w:r w:rsidRPr="00F043FF">
        <w:t xml:space="preserve"> 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1B185009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>opatřit věc k</w:t>
      </w:r>
      <w:r>
        <w:t> zpracování projektu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F57614" w:rsidRPr="008519AB" w:rsidRDefault="00F57614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F57614" w:rsidRPr="008519AB" w:rsidRDefault="00F57614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2C17FD0E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 xml:space="preserve">, zavazuje se zaplatit kupujícímu smluvní pokutu ve výši 0,1% z celkové ceny </w:t>
      </w:r>
      <w:r w:rsidR="00FE09AC">
        <w:t xml:space="preserve">plnění </w:t>
      </w:r>
      <w:r w:rsidRPr="006D0812">
        <w:t>bez DPH za každý den prodlení. Smluvní pokutou není dotčen nárok kupujícího na náhradu případné škody.</w:t>
      </w:r>
    </w:p>
    <w:p w14:paraId="22557C5C" w14:textId="471C57FF" w:rsidR="00D452BB" w:rsidRPr="006D0812" w:rsidRDefault="00D452BB" w:rsidP="00D452BB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odstraněním vad plnění</w:t>
      </w:r>
      <w:r w:rsidRPr="006D0812">
        <w:t xml:space="preserve">, zavazuje se zaplatit kupujícímu smluvní pokutu ve výši 0,1% z celkové ceny </w:t>
      </w:r>
      <w:r>
        <w:t xml:space="preserve">plnění </w:t>
      </w:r>
      <w:r w:rsidRPr="006D0812">
        <w:t>bez DPH za každý den prodlení. Smluvní pokutou není dotčen nárok kupujícího na náhradu případné škody.</w:t>
      </w:r>
    </w:p>
    <w:p w14:paraId="5CD5CB57" w14:textId="2F53BB68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CD5CB5E" w14:textId="38460127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D452BB" w:rsidRPr="00D452BB">
        <w:t xml:space="preserve"> </w:t>
      </w:r>
      <w:r w:rsidR="00D452BB" w:rsidRPr="006D0812">
        <w:t>a účinnosti</w:t>
      </w:r>
      <w:r w:rsidR="00D452BB">
        <w:t xml:space="preserve"> dnem jejího uveřejnění v registru smluv v souladu se zákonem č. 340/2015 Sb., o </w:t>
      </w:r>
      <w:r w:rsidR="00D452BB">
        <w:rPr>
          <w:rFonts w:cs="Arial"/>
          <w:szCs w:val="20"/>
        </w:rPr>
        <w:t>zvláštních podmínkách účinnosti některých smluv, uveřejňování těchto smluv a o registru smluv (zákon o registru smluv), v platném znění</w:t>
      </w:r>
      <w:r w:rsidRPr="006D0812">
        <w:t>.</w:t>
      </w:r>
    </w:p>
    <w:p w14:paraId="5CD5CB5F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</w:t>
      </w:r>
      <w:r w:rsidRPr="006D0812">
        <w:lastRenderedPageBreak/>
        <w:t>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E" w14:textId="296C5AC4" w:rsidR="00856B46" w:rsidRPr="00162063" w:rsidRDefault="00FE687F" w:rsidP="00D452BB">
      <w:pPr>
        <w:pStyle w:val="ListNumber-ContractCzechRadio"/>
        <w:jc w:val="both"/>
      </w:pPr>
      <w:r>
        <w:rPr>
          <w:rFonts w:cs="Arial"/>
          <w:szCs w:val="20"/>
        </w:rPr>
        <w:t>Tato smlouva včetně jejích příloh a případných změn bude uveřejněna</w:t>
      </w:r>
      <w:r w:rsidR="00D452BB">
        <w:rPr>
          <w:rFonts w:cs="Arial"/>
          <w:szCs w:val="20"/>
        </w:rPr>
        <w:t xml:space="preserve"> </w:t>
      </w:r>
      <w:r w:rsidR="00D452BB" w:rsidRPr="00D452BB">
        <w:rPr>
          <w:rFonts w:cs="Arial"/>
          <w:szCs w:val="20"/>
        </w:rPr>
        <w:t>Českým rozhlasem</w:t>
      </w:r>
      <w:r w:rsidR="00D452BB">
        <w:t xml:space="preserve"> </w:t>
      </w:r>
      <w:r w:rsidRPr="00D452BB">
        <w:rPr>
          <w:rFonts w:cs="Arial"/>
          <w:szCs w:val="20"/>
        </w:rPr>
        <w:t xml:space="preserve">v registru smluv v souladu se zákonem o registru smluv. Pokud smlouvu uveřejní v registru smluv prodávající, zašle ČRo potvrzení o uveřejnění této smlouvy bez zbytečného odkladu. Tento </w:t>
      </w:r>
      <w:r w:rsidR="004B0EE5" w:rsidRPr="00D452BB">
        <w:rPr>
          <w:rFonts w:cs="Arial"/>
          <w:szCs w:val="20"/>
        </w:rPr>
        <w:t xml:space="preserve">odstavec </w:t>
      </w:r>
      <w:r w:rsidRPr="00D452BB">
        <w:rPr>
          <w:rFonts w:cs="Arial"/>
          <w:szCs w:val="20"/>
        </w:rP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5CD5CB70" w14:textId="5D6BD472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4B0EE5" w:rsidRPr="004B0EE5">
        <w:rPr>
          <w:b w:val="0"/>
        </w:rPr>
        <w:t xml:space="preserve"> </w:t>
      </w:r>
    </w:p>
    <w:p w14:paraId="5CD5CB71" w14:textId="2B7DAE69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4B0EE5" w:rsidRPr="006D0812">
        <w:t xml:space="preserve">Specifikace </w:t>
      </w:r>
      <w:r w:rsidR="00A72EF8">
        <w:t>plnění</w:t>
      </w:r>
    </w:p>
    <w:p w14:paraId="02E94F64" w14:textId="152E46E5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r>
        <w:t>Příloha: Cenová specifikace plnění</w:t>
      </w:r>
    </w:p>
    <w:p w14:paraId="25BBC367" w14:textId="42FE75B1" w:rsidR="00343220" w:rsidRPr="006D0812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Pr="004545D6">
        <w:t>Podmínky provádění činností externích osob v objektech ČRo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5CD5CB73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5CD5CB75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5CD5CB76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5CD5CB78" w14:textId="77777777" w:rsidR="00F6014B" w:rsidRPr="006D0812" w:rsidRDefault="00F6014B" w:rsidP="00881C56"/>
    <w:p w14:paraId="5CD5CB7B" w14:textId="70BA180A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lastRenderedPageBreak/>
        <w:t>PŘÍLOHA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5CD5CB88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9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4B0EE5" w:rsidRPr="00366797">
        <w:rPr>
          <w:rFonts w:cs="Arial"/>
          <w:b/>
          <w:szCs w:val="20"/>
        </w:rPr>
        <w:t>]</w:t>
      </w:r>
    </w:p>
    <w:p w14:paraId="5CD5CB8B" w14:textId="68538CDE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6D0812" w:rsidRDefault="00731E1C" w:rsidP="007275D7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CB1887">
        <w:t>plnění</w:t>
      </w:r>
      <w:r w:rsidRPr="006D0812">
        <w:t>:</w:t>
      </w:r>
      <w:r w:rsidR="0079034E" w:rsidRPr="006D0812">
        <w:t xml:space="preserve"> </w:t>
      </w:r>
    </w:p>
    <w:p w14:paraId="5CD5CB8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CD5CB8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CD5CB90" w14:textId="77777777" w:rsidR="00731E1C" w:rsidRPr="006D0812" w:rsidRDefault="00731E1C" w:rsidP="0023258C">
      <w:pPr>
        <w:pStyle w:val="Heading-Number-ContractCzechRadio"/>
      </w:pPr>
    </w:p>
    <w:p w14:paraId="5CD5CB91" w14:textId="0E0A548D" w:rsidR="0079034E" w:rsidRPr="006D0812" w:rsidRDefault="0079034E" w:rsidP="00382F2E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</w:t>
      </w:r>
      <w:r w:rsidR="005535AE">
        <w:rPr>
          <w:b/>
          <w:u w:val="single"/>
        </w:rPr>
        <w:t xml:space="preserve">plnění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CB1887">
        <w:rPr>
          <w:b/>
          <w:u w:val="single"/>
        </w:rPr>
        <w:t>plnění</w:t>
      </w:r>
      <w:r w:rsidR="00CB1887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5CD5CB92" w14:textId="6A759160" w:rsidR="0079034E" w:rsidRPr="006D0812" w:rsidRDefault="0079034E" w:rsidP="007275D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5CD5CB9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5CD5CB9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5CD5CB9B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7976A586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lastRenderedPageBreak/>
        <w:t>PŘÍLOHA 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p w14:paraId="621DB9A4" w14:textId="77777777" w:rsidR="00817321" w:rsidRPr="001035A5" w:rsidRDefault="00817321" w:rsidP="00817321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2967C017" w14:textId="77777777" w:rsidR="00817321" w:rsidRPr="009A6FCB" w:rsidRDefault="00817321" w:rsidP="00D452BB">
      <w:pPr>
        <w:jc w:val="both"/>
        <w:rPr>
          <w:rFonts w:cs="Arial"/>
        </w:rPr>
      </w:pPr>
      <w:r w:rsidRPr="009A6FCB">
        <w:rPr>
          <w:rFonts w:cs="Arial"/>
        </w:rPr>
        <w:t>Zadavatel provozuje současnou páteřní vrstvu LAN sítě na dvojici L3 přepínačů řady Cisco 6500, spojených do jednoho logického celku technologií VSS. Tyto prvky zabezpečují redundantní připojení pro zbytek LAN a ostatních technologických celků sítě ČRo. Zároveň je k těmto prvkům připojena serverová část. Servery a management prvky sítě jsou do páteřních prvků přímo redundantně připojeny.</w:t>
      </w:r>
    </w:p>
    <w:p w14:paraId="34DCDE97" w14:textId="77777777" w:rsidR="00817321" w:rsidRDefault="00817321" w:rsidP="00D452BB">
      <w:pPr>
        <w:pStyle w:val="Nadpis2"/>
        <w:jc w:val="both"/>
        <w:rPr>
          <w:rFonts w:cs="Arial"/>
          <w:b w:val="0"/>
          <w:color w:val="auto"/>
          <w:szCs w:val="20"/>
        </w:rPr>
      </w:pPr>
      <w:r>
        <w:rPr>
          <w:rFonts w:cs="Arial"/>
          <w:color w:val="auto"/>
          <w:szCs w:val="20"/>
        </w:rPr>
        <w:t>Cílový stav</w:t>
      </w:r>
    </w:p>
    <w:p w14:paraId="18540FFD" w14:textId="77777777" w:rsidR="00817321" w:rsidRDefault="00817321" w:rsidP="00D452BB">
      <w:pPr>
        <w:jc w:val="both"/>
      </w:pPr>
      <w:r w:rsidRPr="009A6FCB">
        <w:rPr>
          <w:rFonts w:cs="Arial"/>
          <w:szCs w:val="20"/>
        </w:rPr>
        <w:t xml:space="preserve">Zadavatel požaduje obměnu stávajících přepínačů Cisco </w:t>
      </w:r>
      <w:proofErr w:type="spellStart"/>
      <w:r w:rsidRPr="009A6FCB">
        <w:rPr>
          <w:rFonts w:cs="Arial"/>
          <w:szCs w:val="20"/>
        </w:rPr>
        <w:t>Catalyst</w:t>
      </w:r>
      <w:proofErr w:type="spellEnd"/>
      <w:r w:rsidRPr="009A6FCB">
        <w:rPr>
          <w:rFonts w:cs="Arial"/>
          <w:szCs w:val="20"/>
        </w:rPr>
        <w:t xml:space="preserve"> 6509 novým hardwarem tak, aby byla oddělena část pro připojení serverových technologií (DC část) a část pro připojení přístupových přepínačů, připojení do </w:t>
      </w:r>
      <w:proofErr w:type="gramStart"/>
      <w:r w:rsidRPr="009A6FCB">
        <w:rPr>
          <w:rFonts w:cs="Arial"/>
          <w:szCs w:val="20"/>
        </w:rPr>
        <w:t>WAN</w:t>
      </w:r>
      <w:proofErr w:type="gramEnd"/>
      <w:r w:rsidRPr="009A6FCB">
        <w:rPr>
          <w:rFonts w:cs="Arial"/>
          <w:szCs w:val="20"/>
        </w:rPr>
        <w:t xml:space="preserve"> a internetu (LAN část</w:t>
      </w:r>
      <w:r>
        <w:t>).</w:t>
      </w:r>
    </w:p>
    <w:p w14:paraId="6F818874" w14:textId="77777777" w:rsidR="00ED1C21" w:rsidRDefault="00ED1C21" w:rsidP="00ED1C21">
      <w:pPr>
        <w:rPr>
          <w:rFonts w:cs="Arial"/>
          <w:b/>
          <w:sz w:val="18"/>
          <w:szCs w:val="18"/>
        </w:rPr>
      </w:pPr>
    </w:p>
    <w:p w14:paraId="1C4BD9DA" w14:textId="77777777" w:rsidR="00817321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 w:rsidRPr="001035A5">
        <w:rPr>
          <w:rFonts w:cs="Arial"/>
          <w:color w:val="auto"/>
          <w:szCs w:val="20"/>
        </w:rPr>
        <w:t>Obměna páteřních přepínačů</w:t>
      </w:r>
      <w:r>
        <w:rPr>
          <w:rFonts w:cs="Arial"/>
          <w:color w:val="auto"/>
          <w:szCs w:val="20"/>
        </w:rPr>
        <w:t xml:space="preserve"> LAN</w:t>
      </w:r>
    </w:p>
    <w:p w14:paraId="24F138B1" w14:textId="77777777" w:rsidR="00817321" w:rsidRPr="009A6FCB" w:rsidRDefault="00817321" w:rsidP="00D452BB">
      <w:pPr>
        <w:jc w:val="both"/>
        <w:rPr>
          <w:rFonts w:cs="Arial"/>
        </w:rPr>
      </w:pPr>
      <w:r w:rsidRPr="009A6FCB">
        <w:rPr>
          <w:rFonts w:cs="Arial"/>
        </w:rPr>
        <w:t>Zadavatel požaduje provést výměnu dvou páteřních přepínačů Cisco 650</w:t>
      </w:r>
      <w:r w:rsidRPr="009A6FCB">
        <w:rPr>
          <w:rFonts w:cs="Arial"/>
          <w:lang w:val="en-US"/>
        </w:rPr>
        <w:t>9</w:t>
      </w:r>
      <w:r w:rsidRPr="009A6FCB">
        <w:rPr>
          <w:rFonts w:cs="Arial"/>
        </w:rPr>
        <w:t xml:space="preserve"> formou obměny, s požadavky na funkcionalitu a vybavenost, uvedenými v tabulce níže. Zadavatel požaduje dodání celkem dvou nových L3 přepínačů, které budou sloučeny do jednoho logického přepínače tak, aby se chovaly jako jedna síťová entita z pohledu L2 i L3  protokolů. V rámci obměny je požadováno přepojení všech aktivních prvků a zařízení přímo připojených ke stávajícím páteřním přepínačům.</w:t>
      </w:r>
    </w:p>
    <w:p w14:paraId="5518B67E" w14:textId="77777777" w:rsidR="00817321" w:rsidRPr="009A6FCB" w:rsidRDefault="00817321" w:rsidP="00D452BB">
      <w:pPr>
        <w:jc w:val="both"/>
        <w:rPr>
          <w:rFonts w:cs="Arial"/>
        </w:rPr>
      </w:pPr>
      <w:r w:rsidRPr="009A6FCB">
        <w:rPr>
          <w:rFonts w:cs="Arial"/>
        </w:rPr>
        <w:t xml:space="preserve">Zadavatel požaduje dodání nových transceiverů pro připojení některých přístupových přepínačů. Ke každému přepínači bude dodáno 21 transceiverů 10GBaseLRM, jeden transceiver 10GBaseLR a tři transceivery 1000BaseT. Zbylé aktivní prvky budou připojeny použitím stávajících optických transceiverů, které jsou již používány ve stávajících přepínačích.  </w:t>
      </w:r>
    </w:p>
    <w:p w14:paraId="301DD199" w14:textId="77777777" w:rsidR="00817321" w:rsidRDefault="00817321" w:rsidP="00817321"/>
    <w:tbl>
      <w:tblPr>
        <w:tblW w:w="9396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28"/>
        <w:gridCol w:w="2368"/>
      </w:tblGrid>
      <w:tr w:rsidR="00817321" w:rsidRPr="004B77A5" w14:paraId="70469DF8" w14:textId="77777777" w:rsidTr="00D30458">
        <w:trPr>
          <w:trHeight w:val="300"/>
        </w:trPr>
        <w:tc>
          <w:tcPr>
            <w:tcW w:w="7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000000" w:fill="D9D9D9"/>
            <w:hideMark/>
          </w:tcPr>
          <w:p w14:paraId="02FE9B8D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A6FC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Požadovaná funkcionalita/vlastnost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000000" w:fill="D9D9D9"/>
            <w:noWrap/>
            <w:hideMark/>
          </w:tcPr>
          <w:p w14:paraId="7CA20FD7" w14:textId="21363912" w:rsidR="00817321" w:rsidRPr="009A6FCB" w:rsidRDefault="00C8196E" w:rsidP="00D30458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Poznámka</w:t>
            </w:r>
          </w:p>
        </w:tc>
      </w:tr>
      <w:tr w:rsidR="00817321" w:rsidRPr="004B77A5" w14:paraId="5B3838BC" w14:textId="77777777" w:rsidTr="00D30458">
        <w:trPr>
          <w:trHeight w:val="300"/>
        </w:trPr>
        <w:tc>
          <w:tcPr>
            <w:tcW w:w="9396" w:type="dxa"/>
            <w:gridSpan w:val="2"/>
            <w:shd w:val="clear" w:color="000000" w:fill="F2F2F2"/>
            <w:hideMark/>
          </w:tcPr>
          <w:p w14:paraId="60273564" w14:textId="77777777" w:rsidR="00817321" w:rsidRPr="00917354" w:rsidRDefault="00817321" w:rsidP="00D30458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17354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HW specifikace</w:t>
            </w:r>
          </w:p>
        </w:tc>
      </w:tr>
      <w:tr w:rsidR="00817321" w:rsidRPr="004B77A5" w14:paraId="525CA247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6E5645C" w14:textId="7BB6FC1F" w:rsidR="00817321" w:rsidRPr="00D72ADD" w:rsidRDefault="00817321" w:rsidP="00F57614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Typ hardwarového přepínače  - L3 přepínač</w:t>
            </w:r>
            <w:r w:rsidR="00C8196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, SLA </w:t>
            </w:r>
            <w:r w:rsidR="00F5761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  <w:r w:rsidR="00C8196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x5xNBD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7947CBA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8C780A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6CA6B1D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Formát přepínače  - modulární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E7C11E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90201B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89EF67B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Velikost přepínače maximálně (RU) - 5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0562C3E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43444F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D093F19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bookmarkStart w:id="0" w:name="_GoBack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Minimální počet slotů v šasi - 4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06C6659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bookmarkEnd w:id="0"/>
      <w:tr w:rsidR="00817321" w:rsidRPr="004B77A5" w14:paraId="6080BA68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445D1C0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Celková minimální propustnost přepínacího subsystému – 2 </w:t>
            </w:r>
            <w:proofErr w:type="spellStart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Tb</w:t>
            </w:r>
            <w:proofErr w:type="spellEnd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658CAAC8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A36E0A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57C1C5F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Minimální kapacita interní sběrnice na 1 slot přepínače – 220 </w:t>
            </w:r>
            <w:proofErr w:type="spellStart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/s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4559344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20786CE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6565417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Minimální počet záznamů v MAC adresní tabulce – 128 000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68E4F13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D396740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5CB57E9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Minimální počet záznamů ve směrovací tabulce - IPv4  </w:t>
            </w:r>
            <w:proofErr w:type="spellStart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unicast</w:t>
            </w:r>
            <w:proofErr w:type="spellEnd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– 256 000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44F885F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9F59298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E3AAD08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Minimální počet záznamů ve směrovací tabulce – IPv6  </w:t>
            </w:r>
            <w:proofErr w:type="spellStart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unicast</w:t>
            </w:r>
            <w:proofErr w:type="spellEnd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– 128 000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C0D013E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740790D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D05C0B6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Minimální počet aktivních VLAN – 4 000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40BEEAB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3E0BDC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F70D57D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Řídící modul s integrovanými rozhraními 10GE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26BB20A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AF3940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FDE231D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Napájecí zdroj, max. dosažitelný výkon – alespoň 2 500W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7F5C781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901334A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D81B2AB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Interní redundantní napájecí zdroj, </w:t>
            </w:r>
            <w:proofErr w:type="spellStart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max</w:t>
            </w:r>
            <w:proofErr w:type="spellEnd"/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, dosažitelný výkon – alespoň 2 500W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33B02ED3" w14:textId="77777777" w:rsidR="00817321" w:rsidRPr="004B77A5" w:rsidRDefault="00817321" w:rsidP="00D30458">
            <w:pPr>
              <w:spacing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C73A109" w14:textId="77777777" w:rsidTr="00D30458">
        <w:trPr>
          <w:trHeight w:val="302"/>
        </w:trPr>
        <w:tc>
          <w:tcPr>
            <w:tcW w:w="7028" w:type="dxa"/>
            <w:shd w:val="clear" w:color="auto" w:fill="auto"/>
            <w:vAlign w:val="center"/>
            <w:hideMark/>
          </w:tcPr>
          <w:p w14:paraId="0E19612C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Minimální počet 10GE portů s volitelným fyzickým rozhraním s lokálním přepínáním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- 48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7EB18CC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75FDC6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AF5CD2D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802.1ae na 10Gbit/s portech s volitelným fyzickým rozhraním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42CD41BE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4171E33" w14:textId="77777777" w:rsidTr="00D30458">
        <w:trPr>
          <w:trHeight w:val="300"/>
        </w:trPr>
        <w:tc>
          <w:tcPr>
            <w:tcW w:w="7028" w:type="dxa"/>
            <w:shd w:val="clear" w:color="000000" w:fill="F2F2F2"/>
            <w:vAlign w:val="center"/>
            <w:hideMark/>
          </w:tcPr>
          <w:p w14:paraId="13966496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Osazení 10GE transceivery – 21 x 10GBase-LRM, 1 x 10GBase-LR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0B9D7ED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FD2DCAB" w14:textId="77777777" w:rsidTr="00D30458">
        <w:trPr>
          <w:trHeight w:val="300"/>
        </w:trPr>
        <w:tc>
          <w:tcPr>
            <w:tcW w:w="7028" w:type="dxa"/>
            <w:shd w:val="clear" w:color="000000" w:fill="F2F2F2"/>
            <w:vAlign w:val="center"/>
            <w:hideMark/>
          </w:tcPr>
          <w:p w14:paraId="75EE512F" w14:textId="77777777" w:rsidR="00817321" w:rsidRPr="00D72ADD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72ADD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Osazení 1GE transceivery – 3 x 1000BaseT</w:t>
            </w:r>
          </w:p>
        </w:tc>
        <w:tc>
          <w:tcPr>
            <w:tcW w:w="2368" w:type="dxa"/>
            <w:shd w:val="clear" w:color="000000" w:fill="F2F2F2"/>
            <w:noWrap/>
            <w:vAlign w:val="center"/>
            <w:hideMark/>
          </w:tcPr>
          <w:p w14:paraId="52AD5CE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C3EB2FA" w14:textId="77777777" w:rsidTr="00D30458">
        <w:trPr>
          <w:trHeight w:val="300"/>
        </w:trPr>
        <w:tc>
          <w:tcPr>
            <w:tcW w:w="9396" w:type="dxa"/>
            <w:gridSpan w:val="2"/>
            <w:shd w:val="clear" w:color="000000" w:fill="F2F2F2"/>
            <w:vAlign w:val="center"/>
            <w:hideMark/>
          </w:tcPr>
          <w:p w14:paraId="37686D8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cs-CZ"/>
              </w:rPr>
            </w:pPr>
            <w:r w:rsidRPr="00917354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Funkční specifikace</w:t>
            </w:r>
          </w:p>
        </w:tc>
      </w:tr>
      <w:tr w:rsidR="00817321" w:rsidRPr="004B77A5" w14:paraId="44CA7ECD" w14:textId="77777777" w:rsidTr="00D30458">
        <w:trPr>
          <w:trHeight w:val="496"/>
        </w:trPr>
        <w:tc>
          <w:tcPr>
            <w:tcW w:w="7028" w:type="dxa"/>
            <w:shd w:val="clear" w:color="auto" w:fill="auto"/>
            <w:vAlign w:val="center"/>
            <w:hideMark/>
          </w:tcPr>
          <w:p w14:paraId="4C64FFF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Virtualizace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možnost sloučit alespoň dvě fyzická šasi do jednoho logického celku – virtuálního šasi (jediná entita z pohledu L2 i L3 protokolů)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9BD0DE2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B26ADD2" w14:textId="77777777" w:rsidTr="00D30458">
        <w:trPr>
          <w:trHeight w:val="276"/>
        </w:trPr>
        <w:tc>
          <w:tcPr>
            <w:tcW w:w="7028" w:type="dxa"/>
            <w:shd w:val="clear" w:color="auto" w:fill="auto"/>
            <w:vAlign w:val="center"/>
            <w:hideMark/>
          </w:tcPr>
          <w:p w14:paraId="276F674D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lastRenderedPageBreak/>
              <w:t>Ochranné mechanismy rozpadnutí virtuálního šasi bez nutnosti využití dodatečných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77DAACDE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8D6263E" w14:textId="77777777" w:rsidTr="00D30458">
        <w:trPr>
          <w:trHeight w:val="408"/>
        </w:trPr>
        <w:tc>
          <w:tcPr>
            <w:tcW w:w="7028" w:type="dxa"/>
            <w:shd w:val="clear" w:color="auto" w:fill="auto"/>
            <w:vAlign w:val="center"/>
            <w:hideMark/>
          </w:tcPr>
          <w:p w14:paraId="35E71DC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Stavové přepnutí mezi řídícími moduly v logickém šasi (ekvivalent funkce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StatefullSwitchover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/SSO mezi fyzickými šasi)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7E6EB9A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0A7E2F8" w14:textId="77777777" w:rsidTr="00D30458">
        <w:trPr>
          <w:trHeight w:val="519"/>
        </w:trPr>
        <w:tc>
          <w:tcPr>
            <w:tcW w:w="7028" w:type="dxa"/>
            <w:shd w:val="clear" w:color="auto" w:fill="auto"/>
            <w:vAlign w:val="center"/>
            <w:hideMark/>
          </w:tcPr>
          <w:p w14:paraId="4A86173A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Směrování protokolů IPv4 a IPv6 v hardware (duální podpora IPv4 a IPv6, tedy možnost současné konfigurace IPv4 a IPv6 adres na tomtéž fyzickém nebo logickém rozhraní, </w:t>
            </w:r>
            <w:proofErr w:type="spellStart"/>
            <w:r w:rsidRPr="009A6FCB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cs-CZ"/>
              </w:rPr>
              <w:t>dual</w:t>
            </w:r>
            <w:r w:rsidRPr="009A6FCB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cs-CZ"/>
              </w:rPr>
              <w:noBreakHyphen/>
              <w:t>stack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535EBE8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CB90E7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3BB2D1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HW podpora MPLS a VPLS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4EBCD15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3B4FA5D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26BD23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Tunelovací protokoly (např. GRE)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D6CD85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A6172C5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0F5C3CA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Překlad adres/NAT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F64D58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8DF288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77CA7D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802.3ad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43FA66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985B43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4220FC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802.3ad přes více modulů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9C4AF4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80B0967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95EEE3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IEEE 802.3ad přes více šasi (funkční ekvivalent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MultichassisEtherchannel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9E52D6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171D940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A74977A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802.1Q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5E3DBB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FBA459A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7A81BD4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802.1ak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7407AF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0F4551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80CDFB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tunelování 802.1Q v 802.1Q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0EE4C5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456FAE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8703962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IEEE 802.1s -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Multiple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Spanning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Trees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4560DA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17912B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7E4B9C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IEEE 802.1w - Rapid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SpanningTreeProtocol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CB7C7C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2EE4E9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CD09B8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802.1p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9EB4CC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26DAA8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B4A6CFF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Detekce protilehlého zařízení (např. CDP nebo LLDP)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1444091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23627A2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434E60C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Hardwarová podpora dlouhých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ethernetových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rámců, tzv. „jumbo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frames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“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C6A39B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4EBE0E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29B442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Detekce jednosměrnosti optické linky (např. UDLD)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91440A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41D9AC0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81F709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classification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dle ACL, IP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Prec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DSCP,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92ED13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F17497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EC69B2E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proofErr w:type="gram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marking</w:t>
            </w:r>
            <w:proofErr w:type="spellEnd"/>
            <w:proofErr w:type="gram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</w:t>
            </w:r>
            <w:proofErr w:type="gram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dle</w:t>
            </w:r>
            <w:proofErr w:type="gram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Prec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DSCP,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43C0EFA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CDF15D2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B692582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olicing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BD09B35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8B88262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55503C3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Policing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 na hodnotu agregovanou ze všech karet s lokálním přepínáním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97E2E0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04A2327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96EBA2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Policing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per-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(např.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microflowpolicing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nebo funkčně ekvivalentní)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7E827C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6B37839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7337BA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Konfigurovatelné HW prostředky ochrany CPU před útoky typu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DoS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D1C033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5E4B78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E17DB2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Hardwarová filtrace (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list) na fyzickém i logickém L2 i L3 rozhraní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43E523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8070257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262CFE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Hardwarová filtrace (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list) dle L2, L3 i L4 informací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3CE9A6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70A5EA4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FF1AD0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Provádění dílčích změn v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listu nemá vliv na filtraci datových toků nezměněnou částí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listu 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587D530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83CCC16" w14:textId="77777777" w:rsidTr="00D30458">
        <w:trPr>
          <w:trHeight w:val="9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3DD8902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Hardwarová filtrace (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list) podle bezpečnostních rolí uživatelů propagovaných sítí přistupujících k různým skupinám síťových prostředků (např. SGACL, role-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based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ACL nebo funkčně ekvivalentní) 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64DDB38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7F3AF12" w14:textId="77777777" w:rsidTr="00D30458">
        <w:trPr>
          <w:trHeight w:val="9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F6E288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Klasifikace bezpečnostní role přistupujícího uživatele nebo koncového zařízení a její propagace sítí (např.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Scalable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-Group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TageXchangeProtocol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dle RFC draft-smith-kandula-sxp-05 nebo funkčně ekvivalentní).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0014C5C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D942548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A90083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Propagace bezpečnostní role uživatele nebo koncového zařízení pro každý datový rámec (např.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Group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Tagging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2298738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3AC98E0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76719F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Zabezpečení a analýza DHCP protokolu (např. DHCP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snoopingu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95B03C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9E4E8E7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F7189F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Ochrana ARP protokolu (např.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Dynamic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ARP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Inspection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, DAI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21C6923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5305F74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DC7CF5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Ochrana podvrženého mapování IP/MAC adresy (např. IP Source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Guard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/IPSG nebo funkčně ekvivalentní)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356A2C40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B0D5039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BCAB49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MPLS směrování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5A7DE6D5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9AF1395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8CB623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lastRenderedPageBreak/>
              <w:t>VPLS směrování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6D82B03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497A289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C8F20A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BGPv4, MP-BGP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9E4AB9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65FADE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843442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OSPFv2, OSPFv3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79A529A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0F27FD6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F9EFCC2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 s MD5 a NSSA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153A520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48586B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21F0BF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RIPv2,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RIPng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C1AA05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B474DC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18D0C5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IS-IS pro IPv4 a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B1F4FD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A36369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97F1D7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Router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pro IPv4 (např. VRRP, HSRP)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C99253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97D7DE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CD8A60F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Policy-based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podle ACL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E673C3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84AAB0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E5470D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PIM-SM (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Protocol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Independent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sparse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mód)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879EB75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B6265F8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38F852D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PIM SSM (PIM Source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SpecificMulticast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3F50F8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8140C0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8EEBB74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BidirectionalProtocol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Independent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(RFC 5015)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99A1B3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36BB72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41DBDE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IGMPv2, IGMPv3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40B5FE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47D4F25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65D310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Antispoofingová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kontrola ekvivalentní funkci RPFC, </w:t>
            </w:r>
            <w:r w:rsidRPr="009A6FCB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reverse </w:t>
            </w:r>
            <w:proofErr w:type="spellStart"/>
            <w:r w:rsidRPr="009A6FCB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cs-CZ"/>
              </w:rPr>
              <w:t>pathforwardingcheck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dle RFC3704 a RFC3178 pro IPv4 i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02E8A52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D94297E" w14:textId="77777777" w:rsidTr="00D30458">
        <w:trPr>
          <w:trHeight w:val="300"/>
        </w:trPr>
        <w:tc>
          <w:tcPr>
            <w:tcW w:w="7028" w:type="dxa"/>
            <w:shd w:val="clear" w:color="auto" w:fill="auto"/>
            <w:noWrap/>
            <w:vAlign w:val="center"/>
            <w:hideMark/>
          </w:tcPr>
          <w:p w14:paraId="765212BC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Směrování dle škálovatelné adresace (např.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Locator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/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IdentifierSeparationProtocol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(LISP) dle RFC 6830)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5A59D6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C91F896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808C60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IPv6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services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(HTTP, DNS, SSH, ACL, ICMP, DHCP)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3A0D82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A565CA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6FA5BD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Router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pro IPv6 (např. VRRP, HSRP)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DA26700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9A52C47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E2DD4A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IPv6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First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Hop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(IPv6 Port ACL, RA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guard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Neighbor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Discovery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F43DDE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1A8225B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0A08A9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IPv6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(MLDv1 &amp; v2, PIM SSM, PIM SM)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9F0B04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3A298D6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A3AF99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IPv6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over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GRE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385EB5A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2ECD19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FCE2BF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ISATAP v hardware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379CE51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257AE78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2326C3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IPv6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36E87A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1F3DE80" w14:textId="77777777" w:rsidTr="00D30458">
        <w:trPr>
          <w:trHeight w:val="12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8CD1B7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Vytváření logicky oddělených instancí virtuálních směrovacích tabulek v rámci téhož L3 přepínače/směrovače pro tvorbu VPN (podpora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virtualizace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směrovacích tabulek - např. funkční ekvivalent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Virtual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Forwarding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/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noBreakHyphen/>
              <w:t>VRF)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FA39765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823D41D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3ABA20E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Protokoly a služby per VRF (TACACS+, VRRP nebo HSRP,  SNMP,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NTP, PING) 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A74A67E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BF362E5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18D3A0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v9 (nebo IPFIX RFC 3917, RFC 3955) a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Flexible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(nebo funkčně ekvivalentní) pro IPv4 i 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1F8AC3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1D89A4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325A56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(nebo funkčně ekvivalentní) na vstupu i výstupu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6478C2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EE2F2E5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DA41F3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Detailní flexibilní definice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 dle L2, L3 i L4 parametrů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C4D5C8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5AF9FC6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38D04D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Statistiky určovány z každého paketu daného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3FFC18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F91D9B1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D9138F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Sběr a export TCP příznaků pro monitoring bezpečnostních hrozeb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742FA8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0362A5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959548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Návaznost skriptů interpretovaných přepínačem po detekci daných parametrů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30CE191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D42916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5902AA43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Zobrazení sbíraných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infromací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o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 přímo v přepínači. I včetně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TopN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 pohledu.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64AC3B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C6DF3A2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DD1F5E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Export statistik "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" selektivně na více kolektorů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AD3DA6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27824E1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1288EBB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Interpretace uživatelských CLI a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Tcl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skriptů a jejich aktivace asynchronní událostí v systému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BF85F98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F58F9FE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62BC3B4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Konfigurovatelná autodiagnostika při startu i za provozu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7FF7C8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72DB6A5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137B72E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Nástroj měření odezev sítě (např. IP SLA) pro IPv4 i IPv6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1F38B25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6AA9DD2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FC4DE97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Měření a ovládání spotřeby energie k LAN připojených koncových zařízení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E9C20F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8B5FB7F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A754A32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Textové řádkově orientované/CLI konfigurační rozhraní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0AC2FE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2147DB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87DFD6C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Konfigurace zařízení v člověku čitelné textové formě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46FDA3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2330DDE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47271B9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lastRenderedPageBreak/>
              <w:t>Povyšování operačního software zařízení po síti pomocí protokolů TFTP, FTP a HTTP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2592D7E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9DA186B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BA7E85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Načtení/zálohování textové konfigurace zařízení po síti pomocí protokolů TFTP, FTP a HTTP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63896AF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FD50DAD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EE796AA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Přepínač může sloužit pro automatickou zálohu a obnovu firmware včetně konfigurace pro podřízený/é přepínač/e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58BD0C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785BA8C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B7A863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Automatická aplikace specifické konfigurace pro dané zařízení po detekci jeho připojení na portu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67B695B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7ED07AD" w14:textId="77777777" w:rsidTr="00D30458">
        <w:trPr>
          <w:trHeight w:val="6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0527BAD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Konfigurační šablony aplikovatelné na rozhraní, spravované samotným zařízením bez dodatečných externích nástrojů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575F8E90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43481E5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B4C37C3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Sériová konzolová linka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6040B5C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A6A676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D67EDE1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71DB9B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9E45E4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F0D2CDD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Možnost omezení přístupu k managementu (SSH, SNMP) pomocí ACL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777EE35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0A760A2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901327E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Synchronizace času protokolem NTPv3 (klient i server)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DFAD2CF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6F8C55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D70EB96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SNMPv2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00ABCC6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6ACE3AC9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0B719B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SNMPv3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2B6207B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7C76DAB6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04B22C4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RADIUS klient pro AAA (autentizace, autorizace, </w:t>
            </w: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accounting</w:t>
            </w:r>
            <w:proofErr w:type="spellEnd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425971FD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5C7DDA43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76B17638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TACACS+ klient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1111372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4C7E671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632B2949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Zrcadlení portů (funkční ekvivalent SPAN)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9DBB36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2FA9EABC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8467E35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Vzdálené zrcadlení portů (funkční ekvivalent RSPAN)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33647359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33616DCD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249EFA20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Pokročilé interní nástroje pro ladění/debugging procházejícího provozu</w:t>
            </w:r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1EE7093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4B77A5" w14:paraId="1A19CA34" w14:textId="77777777" w:rsidTr="00D30458">
        <w:trPr>
          <w:trHeight w:val="300"/>
        </w:trPr>
        <w:tc>
          <w:tcPr>
            <w:tcW w:w="7028" w:type="dxa"/>
            <w:shd w:val="clear" w:color="auto" w:fill="auto"/>
            <w:vAlign w:val="center"/>
            <w:hideMark/>
          </w:tcPr>
          <w:p w14:paraId="3BBE265F" w14:textId="77777777" w:rsidR="00817321" w:rsidRPr="009A6FCB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9A6FCB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</w:p>
        </w:tc>
        <w:tc>
          <w:tcPr>
            <w:tcW w:w="2368" w:type="dxa"/>
            <w:shd w:val="clear" w:color="auto" w:fill="auto"/>
            <w:noWrap/>
            <w:vAlign w:val="center"/>
          </w:tcPr>
          <w:p w14:paraId="08D2CD47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6A6EE336" w14:textId="77777777" w:rsidR="00817321" w:rsidRDefault="00817321" w:rsidP="00817321"/>
    <w:p w14:paraId="3B0F82E8" w14:textId="77777777" w:rsidR="00817321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>
        <w:rPr>
          <w:rFonts w:cs="Arial"/>
          <w:color w:val="auto"/>
          <w:szCs w:val="20"/>
        </w:rPr>
        <w:t>INFRASTRUKTURA DATOVÉHO CENTRA</w:t>
      </w:r>
    </w:p>
    <w:p w14:paraId="5D1DD486" w14:textId="77777777" w:rsidR="00817321" w:rsidRPr="00917354" w:rsidRDefault="00817321" w:rsidP="00D452BB">
      <w:pPr>
        <w:jc w:val="both"/>
        <w:rPr>
          <w:rFonts w:cs="Arial"/>
        </w:rPr>
      </w:pPr>
      <w:r w:rsidRPr="00917354">
        <w:rPr>
          <w:rFonts w:cs="Arial"/>
        </w:rPr>
        <w:t>Zadavatel požaduje vybudovat kompletní síťovou infrastrukturu datového centra a následně požaduje připojit k této infrastruktuře všechny servery a ostatní technologie, které jsou nyní zakončeny na páteřních přepínačích. Tato infrastruktura musí být vybudována v plně redundantním režimu.</w:t>
      </w:r>
    </w:p>
    <w:p w14:paraId="5C6EF524" w14:textId="05216788" w:rsidR="00817321" w:rsidRPr="00917354" w:rsidRDefault="00817321" w:rsidP="00D452BB">
      <w:pPr>
        <w:jc w:val="both"/>
        <w:rPr>
          <w:rFonts w:cs="Arial"/>
        </w:rPr>
      </w:pPr>
      <w:r w:rsidRPr="00917354">
        <w:rPr>
          <w:rFonts w:cs="Arial"/>
        </w:rPr>
        <w:t xml:space="preserve">Je požadováno, aby síť tvořila dvojice centrálních přepínačů, které budou v rámci jednotlivých rozváděčů datového centra rozšířeny o distribuované moduly s požadovanými fyzickými porty a jejich počtem. </w:t>
      </w:r>
    </w:p>
    <w:p w14:paraId="27BF4577" w14:textId="77777777" w:rsidR="00817321" w:rsidRPr="00917354" w:rsidRDefault="00817321" w:rsidP="00D452BB">
      <w:pPr>
        <w:jc w:val="both"/>
        <w:rPr>
          <w:rFonts w:cs="Arial"/>
        </w:rPr>
      </w:pPr>
      <w:r w:rsidRPr="00917354">
        <w:rPr>
          <w:rFonts w:cs="Arial"/>
        </w:rPr>
        <w:t xml:space="preserve">Pro každý centrální přepínač požaduje zadavatel dodání jednoho rozšiřujícího modulu (celkem tedy 2 modulů), každý s klientskými porty 1/10GBASE-T. Propojení obou centrálních přepínačů a připojení každého vzdáleného modulu bude realizováno vždy dvěma 40GE spoji. Pro každý spoj budou k dispozici dvě </w:t>
      </w:r>
      <w:proofErr w:type="spellStart"/>
      <w:r w:rsidRPr="00917354">
        <w:rPr>
          <w:rFonts w:cs="Arial"/>
        </w:rPr>
        <w:t>vícevidová</w:t>
      </w:r>
      <w:proofErr w:type="spellEnd"/>
      <w:r w:rsidRPr="00917354">
        <w:rPr>
          <w:rFonts w:cs="Arial"/>
        </w:rPr>
        <w:t xml:space="preserve"> optická vlákna. Transceivery pro propojení budou součástí dodávky.</w:t>
      </w:r>
    </w:p>
    <w:p w14:paraId="6FD8A278" w14:textId="77777777" w:rsidR="00817321" w:rsidRPr="00917354" w:rsidRDefault="00817321" w:rsidP="00D452BB">
      <w:pPr>
        <w:jc w:val="both"/>
        <w:rPr>
          <w:rFonts w:cs="Arial"/>
        </w:rPr>
      </w:pPr>
      <w:r w:rsidRPr="00917354">
        <w:rPr>
          <w:rFonts w:cs="Arial"/>
        </w:rPr>
        <w:t>Zadavatel zároveň požaduje osazení každého centrálního přepínače čtyřmi transceivery 10GBaseLRM a třemi transceivery 1000BaseT. Celkové požadavky na každý systém jsou uvedeny v tabulce níže, včetně počtu distribuovaných modulů a jejich typu.</w:t>
      </w:r>
    </w:p>
    <w:p w14:paraId="64DDD74B" w14:textId="77777777" w:rsidR="00817321" w:rsidRDefault="00817321" w:rsidP="00D452BB">
      <w:pPr>
        <w:jc w:val="both"/>
        <w:rPr>
          <w:rFonts w:cs="Arial"/>
        </w:rPr>
      </w:pPr>
      <w:r w:rsidRPr="00917354">
        <w:rPr>
          <w:rFonts w:cs="Arial"/>
        </w:rPr>
        <w:t>Dodaná infrastruktura musí obsahovat všechny potřebné transceivery. Připojení datového centra k jádru LAN sítě musí být realizováno přes páteřní přepínače sítě ČRo v režimu vysoké dostupnosti s celkovou šířkou pásma minimálně 4x10GE. Distribuované moduly musí být připojeny k centrálním přepínačům datového centra připojeny minimální konektivitou 2x40GE.</w:t>
      </w:r>
    </w:p>
    <w:p w14:paraId="0BDB34A3" w14:textId="77777777" w:rsidR="00817321" w:rsidRDefault="00817321" w:rsidP="00817321">
      <w:pPr>
        <w:rPr>
          <w:rFonts w:cs="Arial"/>
        </w:rPr>
      </w:pPr>
    </w:p>
    <w:p w14:paraId="737EF69A" w14:textId="77777777" w:rsidR="00817321" w:rsidRDefault="00817321" w:rsidP="00817321">
      <w:pPr>
        <w:rPr>
          <w:rFonts w:cs="Arial"/>
        </w:rPr>
      </w:pPr>
    </w:p>
    <w:p w14:paraId="772982C1" w14:textId="77777777" w:rsidR="00934D40" w:rsidRDefault="00934D40" w:rsidP="00817321">
      <w:pPr>
        <w:rPr>
          <w:rFonts w:cs="Arial"/>
        </w:rPr>
      </w:pPr>
    </w:p>
    <w:p w14:paraId="0E8A2366" w14:textId="77777777" w:rsidR="00934D40" w:rsidRDefault="00934D40" w:rsidP="00817321">
      <w:pPr>
        <w:rPr>
          <w:rFonts w:cs="Arial"/>
        </w:rPr>
      </w:pPr>
    </w:p>
    <w:p w14:paraId="68C76449" w14:textId="77777777" w:rsidR="00817321" w:rsidRPr="00917354" w:rsidRDefault="00817321" w:rsidP="00817321">
      <w:pPr>
        <w:rPr>
          <w:rFonts w:cs="Arial"/>
        </w:rPr>
      </w:pPr>
    </w:p>
    <w:tbl>
      <w:tblPr>
        <w:tblW w:w="118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8"/>
        <w:gridCol w:w="2410"/>
        <w:gridCol w:w="2410"/>
      </w:tblGrid>
      <w:tr w:rsidR="00817321" w:rsidRPr="002D35AD" w14:paraId="14EA7689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D994245" w14:textId="77777777" w:rsidR="00817321" w:rsidRPr="002D35AD" w:rsidRDefault="00817321" w:rsidP="00D30458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E37362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lastRenderedPageBreak/>
              <w:t>Požadovaná</w:t>
            </w:r>
            <w:r w:rsidRPr="002D35AD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funkcionalita/vlastnost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B902BBA" w14:textId="6D8D8BDE" w:rsidR="00817321" w:rsidRPr="002D35AD" w:rsidRDefault="00C8196E" w:rsidP="00D3045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Poznámka</w:t>
            </w:r>
          </w:p>
        </w:tc>
      </w:tr>
      <w:tr w:rsidR="00817321" w:rsidRPr="002D35AD" w14:paraId="7305A43B" w14:textId="77777777" w:rsidTr="00D30458">
        <w:trPr>
          <w:gridAfter w:val="1"/>
          <w:wAfter w:w="2410" w:type="dxa"/>
          <w:trHeight w:val="315"/>
        </w:trPr>
        <w:tc>
          <w:tcPr>
            <w:tcW w:w="94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211E8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b/>
                <w:color w:val="000000"/>
                <w:sz w:val="16"/>
                <w:szCs w:val="16"/>
                <w:lang w:eastAsia="cs-CZ"/>
              </w:rPr>
            </w:pPr>
            <w:r w:rsidRPr="00E37362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HW specifikace</w:t>
            </w:r>
          </w:p>
        </w:tc>
      </w:tr>
      <w:tr w:rsidR="00817321" w:rsidRPr="002D35AD" w14:paraId="4E434A4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A590F" w14:textId="6461A08C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Formát zařízení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Fixní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754F7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6CB3CB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4F7F0" w14:textId="0828C793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Typ hardwarového přepínače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L3 přepínač</w:t>
            </w:r>
            <w:r w:rsidR="00C8196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, SLA 24x7x4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86584" w14:textId="77777777" w:rsidR="00817321" w:rsidRPr="004B77A5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53505C1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0D91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Redundantní zdroj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6784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B80A081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6593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Celková propustnost přepínače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3,6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Tbps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7958A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03EA98E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58BE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neblokovaných portů typu 40/50GE s volitelným fyzickým rozhraním typu QSFP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4FBB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5E2156B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B6048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 toho počet portů, které podporují rozhraní 10GE ve formátu SFP</w:t>
            </w:r>
            <w:r w:rsidRPr="00E37362"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  <w:t>+ (</w:t>
            </w: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 formou redukce)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9B71A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0A24344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93D2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neblokovaných portů 100GE s volitelným fyzickým rozhraním typu QSFP</w:t>
            </w:r>
            <w:r w:rsidRPr="00E37362"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  <w:t>28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  <w:t xml:space="preserve"> - 4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B2F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651BD61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59C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40GE rozhraní umožňujících přenos signálu přes duplexní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multimodová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vlákna typu OM3, resp. OM4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EF09E" w14:textId="77777777" w:rsidR="00817321" w:rsidRPr="002D35AD" w:rsidRDefault="00817321" w:rsidP="00D30458">
            <w:pPr>
              <w:spacing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EA6286B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B263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Podpora distribuovaných rozšiřujících modulů (virtuální vzdálené rozšiřujících moduly umístěné v jiném fyzickém šasi)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65FCE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A0609DE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96EC1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1/10GBASE-T portů dostupných na vzdáleném modulu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- 2x48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AD2C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B09FCBE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56C1C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Osazení 10GE transceivery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- 4x10GBase-LRM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12C37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3213041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1D8CC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Osazení 1GE transceivery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3x1000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BaseT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C06E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F0C682F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44DD7D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CLI rozhraní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2073D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2E2AFCA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8F52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b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Funkční specifikace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F1C4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ADBA599" w14:textId="77777777" w:rsidTr="00D30458">
        <w:trPr>
          <w:trHeight w:val="525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AC14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VXLAN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bridging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C50FB" w14:textId="77777777" w:rsidR="00817321" w:rsidRPr="002D35AD" w:rsidRDefault="00817321" w:rsidP="00D30458"/>
        </w:tc>
      </w:tr>
      <w:tr w:rsidR="00817321" w:rsidRPr="002D35AD" w14:paraId="61856172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8E17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VXLAN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gateway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3C1FB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02856DA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83325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VXLAN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EFF63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18AB492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B387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VXLAN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MP-BGP EVPN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control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plane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BFCB5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67106B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E38CE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802.3ad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602A9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8F69ED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B0439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802.3ad přes více šasi (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Multichassis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Link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Aggregation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E00E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157E0E1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7E1DE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Minimálně 32 linek jako součást Link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Aggregation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Group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0B3A0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21A1A5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B1D2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Minimální počet konfigurovatelných Link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AggregationGroups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B813E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7AB3DF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05363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Podpora "jumbo rámců"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9216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bytes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057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CC7ADC3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FC8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IEEE 802.1Q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8BF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4483166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1EC6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aktivních VLAN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- 4000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80297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A598A3C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E80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instance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spanning-tree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protokolu per VLAN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1237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5E6171D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8CDA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IEEE 802.1w - Rapid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SpanningTreeProtocol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65FC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469AB07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6CA2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Detekce protilehlého zařízení (např. LLDP)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14610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D2100A3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15D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MAC záznamů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- 96000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AB5E7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7837BB3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23D03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proofErr w:type="gram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classification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 –  ACL</w:t>
            </w:r>
            <w:proofErr w:type="gram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DSCP,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CoSbased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9297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65A4ABF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81D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marking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 DSCP,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83C0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A3B8B18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4DBE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lastRenderedPageBreak/>
              <w:t>QoS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Priority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BasedFlowControl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(IEEE 802.1Qbb)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D2905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C3DF68A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3EF3D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Approximate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Fair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Droping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DB0A1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F47804B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F51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zobrazit využití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bufferů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per port a per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queue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 reálném čase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2F90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81D83A1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8A6C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Min. velikost sdíleného systémového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bufferu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40MB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82E85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50AD12F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6CC2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rozšířit funkcionalitu přepínače o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FCoE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NPV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544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0E7A56D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CF4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GRE (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Generic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Encapsulation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83435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2D4DCC9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2E14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Minimální počet host IPv4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routes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E62E6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7CBA177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6E39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First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Hop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(např. VRRP, HSRP)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BFCB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B2CF345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4073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B5D08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8EB1039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5F1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BGP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65BC3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F09D4C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A2005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ECMP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64 cest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B13F8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7A9CE4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CAC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IGMPv2, IGMPv3, MLDv2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05E4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4D9FBDE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A3F98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IGMP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snooping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69BF6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5D486BA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042C5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 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(PIM SMPIM SSM) pro IPv4 i IPv6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E7894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9CE6E5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79EA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Virtualizace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směrovacích tabulek - např.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VirtualRouting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Forwarding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(VRF)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EF8D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FE25B1B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AAB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First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Hop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pro IPv6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4C68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7901D85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DD7A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OSPFv3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6E806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CEE35E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746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MP BGP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2406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2444D0F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50A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VLAN ACL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20FC8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099536E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D3DB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HW podpora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realtime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line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rate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telemetrie (schopnost monitorovat každý paket, každý datový tok procházející přepínačem)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6A79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1C3887D" w14:textId="77777777" w:rsidTr="00D30458">
        <w:trPr>
          <w:gridAfter w:val="1"/>
          <w:wAfter w:w="2410" w:type="dxa"/>
          <w:trHeight w:val="52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2868A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Integrovaná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Flow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table</w:t>
            </w:r>
            <w:proofErr w:type="gramEnd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32000 záznamů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04568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CD4DBFF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7F7DB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Control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Plane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Policing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5B3D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289981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9F4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NETCONF/YANG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23D60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1AC1225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B9852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Streaming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telemetrie -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gRPC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/GPB transport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F5AF5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8D451E4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EA244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Streaming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telemetrie –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time-based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event-basedtriggers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3FBE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3589C83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8AC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Python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scripting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67379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7E851F9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8FFDD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Puppet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Chef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programming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CBCEB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33543F3E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85B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-on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autoprovisioning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E8EA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4256B59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AF06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6B408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EF418BC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42A5F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SNMPv3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A4DB6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87B2FC6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5A110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NTP server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0C89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7FB47B5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4BB9D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RADIUS klient pro AAA (autentizace, autorizace,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accounting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E3319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75D396E0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ACDBC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TACACS+ klient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37D1C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2D38C212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00B61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Port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mirroring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(SPAN)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179C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4AC545A1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0806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Vzdálený port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mirroring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2C610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6BBAD8BF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D07F5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Počet SPAN spojení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0D02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3E23EED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9FB1D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Syslog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7EBF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029A86ED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E643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Role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Based</w:t>
            </w:r>
            <w:proofErr w:type="spellEnd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Access </w:t>
            </w:r>
            <w:proofErr w:type="spellStart"/>
            <w:r w:rsidRPr="00E37362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Control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25BD9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2D35AD" w14:paraId="55196B38" w14:textId="77777777" w:rsidTr="00D30458">
        <w:trPr>
          <w:gridAfter w:val="1"/>
          <w:wAfter w:w="2410" w:type="dxa"/>
          <w:trHeight w:val="315"/>
        </w:trPr>
        <w:tc>
          <w:tcPr>
            <w:tcW w:w="7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6E592" w14:textId="77777777" w:rsidR="00817321" w:rsidRPr="00E37362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20A14" w14:textId="77777777" w:rsidR="00817321" w:rsidRPr="002D35AD" w:rsidRDefault="00817321" w:rsidP="00D30458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4B3327E6" w14:textId="77777777" w:rsidR="00817321" w:rsidRDefault="00817321" w:rsidP="00817321"/>
    <w:p w14:paraId="048E7342" w14:textId="77777777" w:rsidR="00817321" w:rsidRDefault="00817321" w:rsidP="00817321">
      <w:r>
        <w:rPr>
          <w:rFonts w:cs="Arial"/>
          <w:b/>
          <w:szCs w:val="20"/>
        </w:rPr>
        <w:lastRenderedPageBreak/>
        <w:t>Terminálové servery</w:t>
      </w:r>
    </w:p>
    <w:p w14:paraId="67E85024" w14:textId="77777777" w:rsidR="00817321" w:rsidRDefault="00817321" w:rsidP="00D452BB">
      <w:pPr>
        <w:jc w:val="both"/>
        <w:rPr>
          <w:rFonts w:cs="Arial"/>
          <w:szCs w:val="20"/>
        </w:rPr>
      </w:pPr>
      <w:r w:rsidRPr="00E03B68">
        <w:rPr>
          <w:rFonts w:cs="Arial"/>
          <w:szCs w:val="20"/>
        </w:rPr>
        <w:t>Zadavatel požaduje dodání dvojice terminálových serverů, které budou sloužit primárně pro terminálový přístup přes sériové rozhraní k vybraným zařízením, umístěným v sálech s datovými technologiemi. Umístění terminálových serverů je požadováno v datovém centru. Minimální požadované vlastnosti jsou uvedeny v tabulce níže</w:t>
      </w:r>
    </w:p>
    <w:p w14:paraId="445F2567" w14:textId="77777777" w:rsidR="00817321" w:rsidRDefault="00817321" w:rsidP="00817321">
      <w:pPr>
        <w:rPr>
          <w:rFonts w:cs="Arial"/>
          <w:szCs w:val="20"/>
        </w:rPr>
      </w:pPr>
    </w:p>
    <w:tbl>
      <w:tblPr>
        <w:tblW w:w="9498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3"/>
        <w:gridCol w:w="2405"/>
      </w:tblGrid>
      <w:tr w:rsidR="00817321" w:rsidRPr="00C06363" w14:paraId="3B2DDD23" w14:textId="77777777" w:rsidTr="00D30458">
        <w:trPr>
          <w:trHeight w:val="392"/>
        </w:trPr>
        <w:tc>
          <w:tcPr>
            <w:tcW w:w="7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6575283" w14:textId="77777777" w:rsidR="00817321" w:rsidRPr="007B03ED" w:rsidRDefault="00817321" w:rsidP="00D30458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B03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Požadovaná funkcionalita/vlastnost</w:t>
            </w:r>
          </w:p>
        </w:tc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F0558D5" w14:textId="6A3BBE14" w:rsidR="00817321" w:rsidRPr="00C06363" w:rsidRDefault="00C8196E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Poznámka</w:t>
            </w:r>
          </w:p>
        </w:tc>
      </w:tr>
      <w:tr w:rsidR="00817321" w:rsidRPr="00C06363" w14:paraId="3A518DF7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67FF" w14:textId="0275AA8F" w:rsidR="00817321" w:rsidRPr="007B03ED" w:rsidRDefault="00817321" w:rsidP="00F57614">
            <w:pPr>
              <w:spacing w:line="240" w:lineRule="auto"/>
              <w:rPr>
                <w:rFonts w:eastAsia="Times New Roman" w:cs="Arial"/>
                <w:b/>
                <w:color w:val="000000"/>
                <w:szCs w:val="20"/>
                <w:lang w:eastAsia="cs-CZ"/>
              </w:rPr>
            </w:pPr>
            <w:r w:rsidRPr="007B03ED">
              <w:rPr>
                <w:rFonts w:eastAsia="Times New Roman" w:cs="Arial"/>
                <w:b/>
                <w:color w:val="000000"/>
                <w:szCs w:val="20"/>
                <w:lang w:eastAsia="cs-CZ"/>
              </w:rPr>
              <w:t>Typ zařízení – směrovač</w:t>
            </w:r>
            <w:r w:rsidR="00C8196E">
              <w:rPr>
                <w:rFonts w:eastAsia="Times New Roman" w:cs="Arial"/>
                <w:b/>
                <w:color w:val="000000"/>
                <w:szCs w:val="20"/>
                <w:lang w:eastAsia="cs-CZ"/>
              </w:rPr>
              <w:t xml:space="preserve"> </w:t>
            </w:r>
            <w:r w:rsidR="00C8196E" w:rsidRPr="00382F2E">
              <w:rPr>
                <w:rFonts w:eastAsia="Times New Roman" w:cs="Arial"/>
                <w:color w:val="000000"/>
                <w:szCs w:val="20"/>
                <w:lang w:eastAsia="cs-CZ"/>
              </w:rPr>
              <w:t>SLA</w:t>
            </w:r>
            <w:r w:rsidR="00C9160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r w:rsidR="00F57614">
              <w:rPr>
                <w:rFonts w:eastAsia="Times New Roman" w:cs="Arial"/>
                <w:color w:val="000000"/>
                <w:szCs w:val="20"/>
                <w:lang w:eastAsia="cs-CZ"/>
              </w:rPr>
              <w:t>8</w:t>
            </w:r>
            <w:r w:rsidR="00C91609">
              <w:rPr>
                <w:rFonts w:eastAsia="Times New Roman" w:cs="Arial"/>
                <w:color w:val="000000"/>
                <w:szCs w:val="20"/>
                <w:lang w:eastAsia="cs-CZ"/>
              </w:rPr>
              <w:t>x5xNBD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8B22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240E076C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04CF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Formát zařízení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modulární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6F5D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03542159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7C65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Požadovaný počet portů Gig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</w:t>
            </w: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abitEthernet  (WAN)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1x10/100/1000Base-TX kombo s SFP, 1x10/100/1000Base-TX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1771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77A57F29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F7E6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Požadovaný počet portů sériové rozhraní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–</w:t>
            </w: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asynchronní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16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25FE9C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4D6A7282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3597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Sloty pro rozšiřující moduly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B8B3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54008242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CA02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Možnost rozšíření formou modulů na celkový počet sériových portů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min. 48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6DF8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6BA87C15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FC8A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Autentizace přístupu ke každému sériovému portu uživatelským jménem/heslem prostřednictvím centrálního AAA serveru (TACACS</w:t>
            </w:r>
            <w:r w:rsidRPr="00E03B68"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  <w:t>+ a Radius)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1F674" w14:textId="77777777" w:rsidR="00817321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32B73478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1775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Evidence a autorizace přístupu k sériovým portům prostřednictvím centrálního AAA serveru (TACACS</w:t>
            </w:r>
            <w:r w:rsidRPr="00E03B68">
              <w:rPr>
                <w:rFonts w:eastAsia="Times New Roman" w:cs="Arial"/>
                <w:color w:val="000000"/>
                <w:sz w:val="18"/>
                <w:szCs w:val="18"/>
                <w:lang w:val="en-US" w:eastAsia="cs-CZ"/>
              </w:rPr>
              <w:t>+ a Radius)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9B7A6" w14:textId="77777777" w:rsidR="00817321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</w:p>
        </w:tc>
      </w:tr>
      <w:tr w:rsidR="00817321" w:rsidRPr="00C06363" w14:paraId="61165B7F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4BF47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Dostupnost funkcionality akcelerace aplikací i v samotném firmware směrovače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DEE8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3F638778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0296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Směrování IPv4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FA1A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7BE0F76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E022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Směrování IPv6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5484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7158AC6F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14F6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OSPFv2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EBD8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4F4B4166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C1EE6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BGPv4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5212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609CFAB8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BD20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4 byte AS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numbers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in BGP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2AA5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2E101C79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4B93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First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Hop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(např. VRRP, HSRP)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FB01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68C9BE32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1B5C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GRE (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GenericRoutingEncapsulation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6441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CC82190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260EE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Policy-basedrouting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podle ACL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4760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4DC97021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7C8A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IP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Multicast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(PIM SSM, PIM SM)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6AD6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76AA6E67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7A67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IGMPv2, IGMPv3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A824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70B530EA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A52E4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uRPF</w:t>
            </w:r>
            <w:proofErr w:type="spellEnd"/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B6D7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1E852DE9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86E7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First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Hop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Redundancy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Protokol pro IPv6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3C89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6F2E4088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0AD3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OSPFv3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2FEB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3BD7D710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8C7A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Minimální počet oddělených (nezávislých) směrovacích tabulek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15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13E4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6879462D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545B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Možnost rozšíření o IPv6 MPLS VPN (6VPE)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1533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E36FB5C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627E8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classification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ACL, DSCP,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MPLS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based</w:t>
            </w:r>
            <w:proofErr w:type="spellEnd"/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B6EA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15C8B6A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D5C7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marking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 DSCP,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, MPLS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3FEF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13D569D7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484F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Shaping</w:t>
            </w:r>
            <w:proofErr w:type="spellEnd"/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E0A2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75DA7936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1F6A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ClassBased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and Priority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queuing</w:t>
            </w:r>
            <w:proofErr w:type="spellEnd"/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1C32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8787A6C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FEA8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RateLimiting</w:t>
            </w:r>
            <w:proofErr w:type="spellEnd"/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5E68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817321" w:rsidRPr="00C06363" w14:paraId="5E43A61A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562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Hierarchical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QoS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– mi. 3 úrovně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4367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32595CB5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0B8F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Podpora protokolů a služeb per VRF (TACACS+, VRRP nebo </w:t>
            </w:r>
            <w:proofErr w:type="gram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HSRP,   PING</w:t>
            </w:r>
            <w:proofErr w:type="gram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traceroute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5E2B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2D3FDABD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515D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ACL na rozhraní IN/OUT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2CD0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0F9911FD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60D3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zonebased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firewall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4229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50E68B9B" w14:textId="77777777" w:rsidTr="00D30458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CA62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</w:t>
            </w:r>
            <w:proofErr w:type="gram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stavovou</w:t>
            </w:r>
            <w:proofErr w:type="gram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filtrace (firewall) podle bezpečnostních rolí uživatelů propagovaných sítí přistupujících k různým skupinám síťových prostředků (např.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Group Firewall nebo funkčně ekvivalentní) 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09A2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7A1F708B" w14:textId="77777777" w:rsidTr="00D30458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6879C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lastRenderedPageBreak/>
              <w:t xml:space="preserve">Možnost rozšíření o klasifikaci bezpečnostní role přistupujícího uživatele nebo koncového zařízení a její propagace sítí (např.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Group Exchange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Protocol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dle RFC draft-smith-kandula-sxp-01 nebo funkčně ekvivalentní).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3E65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3551D798" w14:textId="77777777" w:rsidTr="00D30458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8C1E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monitorování aplikačních toků (za účelem detekce bezpečnostních </w:t>
            </w:r>
            <w:proofErr w:type="gram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incidentů)  prostřednictvím</w:t>
            </w:r>
            <w:proofErr w:type="gram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technologie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nebo ekvivalentní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2BE6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00292276" w14:textId="77777777" w:rsidTr="00D30458">
        <w:trPr>
          <w:trHeight w:val="9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AF2C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definici klíčových atributů a parametrů monitorovaných toků včetně parametrů: zdrojová/cílová IP adresa, zdrojová/cílová  VLAN, TCP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flags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, TCP sekvenční čísla, hodnota TTL, ICMP kód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F35D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1F109743" w14:textId="77777777" w:rsidTr="00D30458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BD18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Možnost rozšíření o podporu minimálně 2 různých monitorů současně (pro monitoring bezpečnosti a monitoring objemu přenesených dat)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0C59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5F64B678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B284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export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dat dle formátu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NetFlow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v9 nebo IPFIX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4F3E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312F8F67" w14:textId="77777777" w:rsidTr="00D30458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F53B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Možnost rozšíření o Interní nástroje pro on-line měření kvality síťové infrastruktury, např. IP SLA nebo ekvivalentní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B7E5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5A631C85" w14:textId="77777777" w:rsidTr="00D30458">
        <w:trPr>
          <w:trHeight w:val="6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39A3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Možnost rozšíření o směrování dle dynamicky měřených metrik, typu aplikace, zejména pro realtimové a multimediální aplikace (např. Performance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Routing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nebo ekvivalentní)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E62E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BFBFBF"/>
                <w:sz w:val="16"/>
                <w:szCs w:val="16"/>
                <w:lang w:eastAsia="cs-CZ"/>
              </w:rPr>
            </w:pPr>
          </w:p>
        </w:tc>
      </w:tr>
      <w:tr w:rsidR="00817321" w:rsidRPr="00C06363" w14:paraId="200E1062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01CB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SSHv2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9CAA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2003EF03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4549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CLI rozhraní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D884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158270CA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FC43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SNMPv2/v3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7CB1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445CE4E0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AABB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TACACS+ nebo RADIUS klient pro AAA (autentizace, autorizace, </w:t>
            </w:r>
            <w:proofErr w:type="spellStart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accounting</w:t>
            </w:r>
            <w:proofErr w:type="spellEnd"/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AE5D" w14:textId="77777777" w:rsidR="00817321" w:rsidRPr="00C06363" w:rsidRDefault="00817321" w:rsidP="00D30458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</w:tr>
      <w:tr w:rsidR="00817321" w:rsidRPr="00C06363" w14:paraId="6B276156" w14:textId="77777777" w:rsidTr="00D30458">
        <w:trPr>
          <w:trHeight w:val="300"/>
        </w:trPr>
        <w:tc>
          <w:tcPr>
            <w:tcW w:w="7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3CF8" w14:textId="77777777" w:rsidR="00817321" w:rsidRPr="00E03B68" w:rsidRDefault="00817321" w:rsidP="00D30458">
            <w:pPr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E03B6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NTPv3 server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688" w14:textId="77777777" w:rsidR="00817321" w:rsidRPr="00C06363" w:rsidRDefault="00817321" w:rsidP="00D30458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0636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CE0997" w14:textId="77777777" w:rsidR="00817321" w:rsidRDefault="00817321" w:rsidP="00817321"/>
    <w:p w14:paraId="5B52CE87" w14:textId="77777777" w:rsidR="00817321" w:rsidRPr="00E03B68" w:rsidRDefault="00817321" w:rsidP="00D452BB">
      <w:pPr>
        <w:jc w:val="both"/>
        <w:rPr>
          <w:rFonts w:cs="Arial"/>
        </w:rPr>
      </w:pPr>
    </w:p>
    <w:p w14:paraId="42174851" w14:textId="3245340D" w:rsidR="00DD255D" w:rsidRDefault="00036745" w:rsidP="00D452BB">
      <w:pPr>
        <w:jc w:val="both"/>
        <w:rPr>
          <w:rFonts w:cs="Arial"/>
          <w:b/>
          <w:szCs w:val="20"/>
        </w:rPr>
      </w:pPr>
      <w:r w:rsidRPr="00036745">
        <w:rPr>
          <w:rFonts w:cs="Arial"/>
          <w:b/>
          <w:szCs w:val="20"/>
        </w:rPr>
        <w:t>PODPORA</w:t>
      </w:r>
    </w:p>
    <w:p w14:paraId="517E18A8" w14:textId="63986E9D" w:rsidR="00FE26D2" w:rsidRDefault="00FE26D2" w:rsidP="00D452BB">
      <w:pPr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Podpora je kupujícím vyžadována pro následující HW v níže uvedeném rozsahu:</w:t>
      </w:r>
    </w:p>
    <w:p w14:paraId="69AD861E" w14:textId="77777777" w:rsidR="00FE26D2" w:rsidRDefault="00FE26D2" w:rsidP="00D452BB">
      <w:pPr>
        <w:jc w:val="both"/>
        <w:rPr>
          <w:rFonts w:cs="Arial"/>
          <w:b/>
          <w:szCs w:val="20"/>
        </w:rPr>
      </w:pPr>
    </w:p>
    <w:p w14:paraId="2AAD4A9D" w14:textId="40D41534" w:rsidR="00F57614" w:rsidRDefault="00E6282A" w:rsidP="00D452BB">
      <w:pPr>
        <w:jc w:val="both"/>
        <w:rPr>
          <w:rFonts w:cs="Arial"/>
          <w:szCs w:val="20"/>
        </w:rPr>
      </w:pPr>
      <w:r w:rsidRPr="00382F2E">
        <w:rPr>
          <w:rFonts w:cs="Arial"/>
          <w:b/>
          <w:szCs w:val="20"/>
        </w:rPr>
        <w:t>Obměna páteřních přepínačů LAN</w:t>
      </w:r>
      <w:r>
        <w:rPr>
          <w:rFonts w:cs="Arial"/>
          <w:szCs w:val="20"/>
        </w:rPr>
        <w:t xml:space="preserve"> – SLA 8x5xNBD (kupující je oprávněn hlásit incidenty v pracovní dny v době od 9:00 do 17:00 hod. a prodávající je povinen dodat náhradní zařízení kupujícímu nejpozději následující pracovní den</w:t>
      </w:r>
      <w:r w:rsidR="00FE26D2">
        <w:rPr>
          <w:rFonts w:cs="Arial"/>
          <w:szCs w:val="20"/>
        </w:rPr>
        <w:t xml:space="preserve"> po nahlášení incidentu</w:t>
      </w:r>
      <w:r>
        <w:rPr>
          <w:rFonts w:cs="Arial"/>
          <w:szCs w:val="20"/>
        </w:rPr>
        <w:t>).</w:t>
      </w:r>
    </w:p>
    <w:p w14:paraId="17513212" w14:textId="77777777" w:rsidR="00E6282A" w:rsidRDefault="00E6282A" w:rsidP="00D452BB">
      <w:pPr>
        <w:jc w:val="both"/>
        <w:rPr>
          <w:rFonts w:cs="Arial"/>
          <w:szCs w:val="20"/>
        </w:rPr>
      </w:pPr>
    </w:p>
    <w:p w14:paraId="7E978EE0" w14:textId="5FC5BE3B" w:rsidR="00E6282A" w:rsidRDefault="00E6282A" w:rsidP="00E6282A">
      <w:pPr>
        <w:jc w:val="both"/>
        <w:rPr>
          <w:rFonts w:cs="Arial"/>
          <w:szCs w:val="20"/>
        </w:rPr>
      </w:pPr>
      <w:r w:rsidRPr="00382F2E">
        <w:rPr>
          <w:rFonts w:cs="Arial"/>
          <w:b/>
          <w:szCs w:val="20"/>
        </w:rPr>
        <w:t>Infrastruktura datového centra</w:t>
      </w:r>
      <w:r>
        <w:rPr>
          <w:rFonts w:cs="Arial"/>
          <w:szCs w:val="20"/>
        </w:rPr>
        <w:t xml:space="preserve"> - </w:t>
      </w:r>
      <w:r w:rsidRPr="00E6282A">
        <w:rPr>
          <w:rFonts w:cs="Arial"/>
          <w:szCs w:val="20"/>
        </w:rPr>
        <w:t>SLA 24x7x4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(kupující je oprávněn hlásit </w:t>
      </w:r>
      <w:r w:rsidR="00C927A6">
        <w:rPr>
          <w:rFonts w:cs="Arial"/>
          <w:szCs w:val="20"/>
        </w:rPr>
        <w:t>incidenty každý den</w:t>
      </w:r>
      <w:r>
        <w:rPr>
          <w:rFonts w:cs="Arial"/>
          <w:szCs w:val="20"/>
        </w:rPr>
        <w:t xml:space="preserve"> 24 hod. denně a prodávající je povinen dodat náhradní zařízení kupujícímu nejpozději </w:t>
      </w:r>
      <w:r w:rsidR="00C927A6">
        <w:rPr>
          <w:rFonts w:cs="Arial"/>
          <w:szCs w:val="20"/>
        </w:rPr>
        <w:t>do 4 hodin od nahlášení incidentu</w:t>
      </w:r>
      <w:r>
        <w:rPr>
          <w:rFonts w:cs="Arial"/>
          <w:szCs w:val="20"/>
        </w:rPr>
        <w:t>).</w:t>
      </w:r>
    </w:p>
    <w:p w14:paraId="7E9AEA13" w14:textId="77777777" w:rsidR="00C927A6" w:rsidRDefault="00C927A6" w:rsidP="00E6282A">
      <w:pPr>
        <w:jc w:val="both"/>
        <w:rPr>
          <w:rFonts w:cs="Arial"/>
          <w:szCs w:val="20"/>
        </w:rPr>
      </w:pPr>
    </w:p>
    <w:p w14:paraId="1EBAC817" w14:textId="50DD9E72" w:rsidR="00C927A6" w:rsidRDefault="00C927A6" w:rsidP="00C927A6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Terminálové servery</w:t>
      </w:r>
      <w:r>
        <w:rPr>
          <w:rFonts w:cs="Arial"/>
          <w:szCs w:val="20"/>
        </w:rPr>
        <w:t xml:space="preserve"> – SLA 8x5xNBD (kupující je oprávněn hlásit incidenty v pracovní dny v době od 9:00 do 17:00 hod. a prodávající je povinen dodat náhradní zařízení kupujícímu nejpozději následující pracovní den</w:t>
      </w:r>
      <w:r w:rsidR="00FE26D2" w:rsidRPr="00FE26D2">
        <w:rPr>
          <w:rFonts w:cs="Arial"/>
          <w:szCs w:val="20"/>
        </w:rPr>
        <w:t xml:space="preserve"> </w:t>
      </w:r>
      <w:r w:rsidR="00FE26D2">
        <w:rPr>
          <w:rFonts w:cs="Arial"/>
          <w:szCs w:val="20"/>
        </w:rPr>
        <w:t>po nahlášení incidentu</w:t>
      </w:r>
      <w:r>
        <w:rPr>
          <w:rFonts w:cs="Arial"/>
          <w:szCs w:val="20"/>
        </w:rPr>
        <w:t>).</w:t>
      </w:r>
    </w:p>
    <w:p w14:paraId="26EF1918" w14:textId="77777777" w:rsidR="00C927A6" w:rsidRDefault="00C927A6" w:rsidP="00C927A6">
      <w:pPr>
        <w:jc w:val="both"/>
        <w:rPr>
          <w:rFonts w:cs="Arial"/>
          <w:szCs w:val="20"/>
        </w:rPr>
      </w:pPr>
    </w:p>
    <w:p w14:paraId="3DA27BCB" w14:textId="0849D63E" w:rsidR="00C927A6" w:rsidRPr="00382F2E" w:rsidRDefault="00C927A6" w:rsidP="00C927A6">
      <w:pPr>
        <w:jc w:val="both"/>
        <w:rPr>
          <w:rFonts w:cs="Arial"/>
          <w:b/>
          <w:szCs w:val="20"/>
        </w:rPr>
      </w:pPr>
      <w:r w:rsidRPr="00382F2E">
        <w:rPr>
          <w:rFonts w:cs="Arial"/>
          <w:b/>
          <w:szCs w:val="20"/>
        </w:rPr>
        <w:t>Kontakt</w:t>
      </w:r>
      <w:r w:rsidR="00FE26D2">
        <w:rPr>
          <w:rFonts w:cs="Arial"/>
          <w:b/>
          <w:szCs w:val="20"/>
        </w:rPr>
        <w:t>ní osoba</w:t>
      </w:r>
      <w:r w:rsidRPr="00382F2E">
        <w:rPr>
          <w:rFonts w:cs="Arial"/>
          <w:b/>
          <w:szCs w:val="20"/>
        </w:rPr>
        <w:t xml:space="preserve"> pro hlášení incidentů:</w:t>
      </w:r>
    </w:p>
    <w:p w14:paraId="409078C5" w14:textId="2FB9861C" w:rsidR="00C927A6" w:rsidRPr="00FE26D2" w:rsidRDefault="00C927A6" w:rsidP="00C927A6">
      <w:pPr>
        <w:pStyle w:val="Nadpis2"/>
        <w:rPr>
          <w:rFonts w:cs="Arial"/>
          <w:b w:val="0"/>
          <w:color w:val="auto"/>
          <w:szCs w:val="20"/>
        </w:rPr>
      </w:pPr>
      <w:r w:rsidRPr="00FE26D2">
        <w:rPr>
          <w:rFonts w:cs="Arial"/>
          <w:b w:val="0"/>
          <w:color w:val="auto"/>
          <w:szCs w:val="20"/>
        </w:rPr>
        <w:t>telefon:</w:t>
      </w:r>
      <w:r w:rsidR="00FE26D2" w:rsidRPr="00382F2E">
        <w:rPr>
          <w:rFonts w:cs="Arial"/>
          <w:b w:val="0"/>
          <w:color w:val="auto"/>
          <w:szCs w:val="20"/>
        </w:rPr>
        <w:t xml:space="preserve"> </w:t>
      </w:r>
      <w:r w:rsidR="00FE26D2" w:rsidRPr="00382F2E">
        <w:rPr>
          <w:rFonts w:cs="Arial"/>
          <w:b w:val="0"/>
          <w:color w:val="auto"/>
          <w:szCs w:val="20"/>
          <w:highlight w:val="yellow"/>
        </w:rPr>
        <w:t>DOPLNIT</w:t>
      </w:r>
    </w:p>
    <w:p w14:paraId="2AB5EC2D" w14:textId="77777777" w:rsidR="00C927A6" w:rsidRPr="00382F2E" w:rsidRDefault="00C927A6" w:rsidP="00382F2E"/>
    <w:p w14:paraId="57EBBAAF" w14:textId="09749F04" w:rsidR="00E6282A" w:rsidRPr="00382F2E" w:rsidRDefault="00C927A6" w:rsidP="00D452BB">
      <w:pPr>
        <w:jc w:val="both"/>
        <w:rPr>
          <w:rFonts w:cs="Arial"/>
          <w:szCs w:val="20"/>
        </w:rPr>
      </w:pPr>
      <w:r w:rsidRPr="00382F2E">
        <w:rPr>
          <w:rFonts w:cs="Arial"/>
          <w:szCs w:val="20"/>
        </w:rPr>
        <w:t>e-mail:</w:t>
      </w:r>
      <w:r w:rsidR="00FE26D2" w:rsidRPr="00382F2E">
        <w:rPr>
          <w:rFonts w:cs="Arial"/>
          <w:szCs w:val="20"/>
        </w:rPr>
        <w:t xml:space="preserve"> </w:t>
      </w:r>
      <w:r w:rsidR="00FE26D2" w:rsidRPr="00FE26D2">
        <w:rPr>
          <w:rFonts w:cs="Arial"/>
          <w:szCs w:val="20"/>
          <w:highlight w:val="yellow"/>
        </w:rPr>
        <w:t xml:space="preserve"> DOPLNIT</w:t>
      </w:r>
    </w:p>
    <w:p w14:paraId="735F5E85" w14:textId="77777777" w:rsidR="00F57614" w:rsidRDefault="00F57614" w:rsidP="00D452BB">
      <w:pPr>
        <w:jc w:val="both"/>
        <w:rPr>
          <w:rFonts w:cs="Arial"/>
          <w:b/>
          <w:szCs w:val="20"/>
        </w:rPr>
      </w:pPr>
    </w:p>
    <w:p w14:paraId="1B635252" w14:textId="4219DA85" w:rsidR="00FE26D2" w:rsidRPr="00FE26D2" w:rsidRDefault="00FE26D2" w:rsidP="00D452BB">
      <w:pPr>
        <w:jc w:val="both"/>
        <w:rPr>
          <w:rFonts w:cs="Arial"/>
          <w:szCs w:val="20"/>
        </w:rPr>
      </w:pPr>
      <w:r w:rsidRPr="00382F2E">
        <w:rPr>
          <w:rFonts w:cs="Arial"/>
          <w:szCs w:val="20"/>
        </w:rPr>
        <w:t>Prodávající je povinen bez zbytečného odkladu po obdržení hlášení o výskytu incidentu kupujícímu písemně potvrdit přijetí tohoto požadavku, a to na e-mail zástupce pro věcná jednání kupujícího dle této smlouvy.</w:t>
      </w:r>
    </w:p>
    <w:p w14:paraId="225C8EF2" w14:textId="6C27E793" w:rsidR="00DD255D" w:rsidRDefault="00DD255D" w:rsidP="00D452BB">
      <w:pPr>
        <w:jc w:val="both"/>
        <w:rPr>
          <w:rFonts w:cs="Arial"/>
          <w:szCs w:val="20"/>
        </w:rPr>
      </w:pPr>
    </w:p>
    <w:p w14:paraId="1F44E932" w14:textId="3CE1CA6B" w:rsidR="00DD255D" w:rsidRDefault="00DD255D" w:rsidP="00D452BB">
      <w:pPr>
        <w:jc w:val="both"/>
        <w:rPr>
          <w:rFonts w:cs="Arial"/>
          <w:szCs w:val="20"/>
        </w:rPr>
      </w:pPr>
    </w:p>
    <w:p w14:paraId="6B0DC959" w14:textId="23879E97" w:rsidR="00DD255D" w:rsidRPr="00382F2E" w:rsidRDefault="00036745" w:rsidP="00D452BB">
      <w:pPr>
        <w:jc w:val="both"/>
        <w:rPr>
          <w:rFonts w:cs="Arial"/>
          <w:b/>
          <w:szCs w:val="20"/>
        </w:rPr>
      </w:pPr>
      <w:r w:rsidRPr="00036745">
        <w:rPr>
          <w:rFonts w:cs="Arial"/>
          <w:b/>
          <w:szCs w:val="20"/>
        </w:rPr>
        <w:t>PROJEKT</w:t>
      </w:r>
    </w:p>
    <w:p w14:paraId="12CA07BC" w14:textId="77777777" w:rsidR="00817321" w:rsidRPr="001035A5" w:rsidRDefault="00817321" w:rsidP="00D452BB">
      <w:pPr>
        <w:jc w:val="both"/>
        <w:rPr>
          <w:rFonts w:cs="Arial"/>
          <w:szCs w:val="20"/>
        </w:rPr>
      </w:pPr>
      <w:r w:rsidRPr="001035A5">
        <w:rPr>
          <w:rFonts w:cs="Arial"/>
          <w:szCs w:val="20"/>
        </w:rPr>
        <w:lastRenderedPageBreak/>
        <w:t>Před zahájením implementace požaduje zadavatel zpracování realizačního projektu, který bude obsahovat analýzu stávajícího stavu, návrh cílového řešení a postup implementace. Implementační práce budou podmíněny akceptací projektové dokumentace zadavatelem. Projektová dokumentace bude vypracována v písemné i elektronické podobě, ve formátu MS Word/Excel, MS Visio a PDF.</w:t>
      </w:r>
    </w:p>
    <w:p w14:paraId="6B975FFB" w14:textId="77777777" w:rsidR="00817321" w:rsidRPr="001035A5" w:rsidRDefault="00817321" w:rsidP="00D452BB">
      <w:pPr>
        <w:jc w:val="both"/>
        <w:rPr>
          <w:rFonts w:cs="Arial"/>
          <w:szCs w:val="20"/>
        </w:rPr>
      </w:pPr>
      <w:r w:rsidRPr="001035A5">
        <w:rPr>
          <w:rFonts w:cs="Arial"/>
          <w:szCs w:val="20"/>
        </w:rPr>
        <w:t xml:space="preserve">V rámci implementace požaduje zadavatel provedení akceptačních testů. Strukturu akceptačních testů vypracuje dodavatel. Testován bude provoz sítě se simulací výpadků jednotlivých aktivních prvků a jejich komponentů (simulace výpadku zdroje, modulárního větráku, jednoho </w:t>
      </w:r>
      <w:proofErr w:type="spellStart"/>
      <w:r w:rsidRPr="001035A5">
        <w:rPr>
          <w:rFonts w:cs="Arial"/>
          <w:szCs w:val="20"/>
        </w:rPr>
        <w:t>uplinku</w:t>
      </w:r>
      <w:proofErr w:type="spellEnd"/>
      <w:r w:rsidRPr="001035A5">
        <w:rPr>
          <w:rFonts w:cs="Arial"/>
          <w:szCs w:val="20"/>
        </w:rPr>
        <w:t>) konfigurovaných v HA módu.</w:t>
      </w:r>
    </w:p>
    <w:p w14:paraId="294A123A" w14:textId="77777777" w:rsidR="00817321" w:rsidRPr="001035A5" w:rsidRDefault="00817321" w:rsidP="00D452BB">
      <w:pPr>
        <w:jc w:val="both"/>
        <w:rPr>
          <w:rFonts w:cs="Arial"/>
          <w:szCs w:val="20"/>
        </w:rPr>
      </w:pPr>
      <w:r w:rsidRPr="001035A5">
        <w:rPr>
          <w:rFonts w:cs="Arial"/>
          <w:szCs w:val="20"/>
        </w:rPr>
        <w:t>Po dokončení implementace požaduje zadavatel dodání dokumentace konečného provedení. Dokumentace bude vypracována v písemné i elektronické podobě, ve formátu MS Word/Excel, MS Visio a PDF.</w:t>
      </w:r>
    </w:p>
    <w:p w14:paraId="19AA0015" w14:textId="77777777" w:rsidR="00817321" w:rsidRPr="001035A5" w:rsidRDefault="00817321" w:rsidP="00D452BB">
      <w:pPr>
        <w:jc w:val="both"/>
        <w:rPr>
          <w:rFonts w:cs="Arial"/>
          <w:szCs w:val="20"/>
        </w:rPr>
      </w:pPr>
      <w:r w:rsidRPr="001035A5">
        <w:rPr>
          <w:rFonts w:cs="Arial"/>
          <w:szCs w:val="20"/>
        </w:rPr>
        <w:t>Jako součást dodávky požaduje zadavatel školení administrace HW v nezbytně nutném rozsahu pro základní administraci systémů.</w:t>
      </w:r>
    </w:p>
    <w:p w14:paraId="6BF61B2C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742EFF3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4A0193C8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398F3F57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477DC4B9" w14:textId="74E0FC07" w:rsidR="00FE26D2" w:rsidRDefault="00FE26D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5B7D6503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5CD5CB9E" w14:textId="1D3C0D8B" w:rsidR="008F663C" w:rsidRDefault="008F663C" w:rsidP="008F663C">
      <w:pPr>
        <w:pStyle w:val="SubjectName-ContractCzechRadio"/>
        <w:jc w:val="center"/>
      </w:pPr>
      <w:proofErr w:type="gramStart"/>
      <w:r w:rsidRPr="006D0812">
        <w:t>PŘÍLOHA</w:t>
      </w:r>
      <w:r>
        <w:t xml:space="preserve"> </w:t>
      </w:r>
      <w:r w:rsidRPr="006D0812">
        <w:t xml:space="preserve">– </w:t>
      </w:r>
      <w:r w:rsidR="004B0EE5">
        <w:t xml:space="preserve"> CENOVÁ</w:t>
      </w:r>
      <w:proofErr w:type="gramEnd"/>
      <w:r w:rsidR="004B0EE5">
        <w:t xml:space="preserve">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3A1E0ABE" w14:textId="0F69E359" w:rsidR="00343220" w:rsidRPr="00343220" w:rsidRDefault="008327D0" w:rsidP="008F2B59">
      <w:r>
        <w:t>Nabídka uchazeče</w:t>
      </w:r>
    </w:p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5A86EEF3" w14:textId="77777777" w:rsidR="0041682F" w:rsidRDefault="0041682F" w:rsidP="008F2B59"/>
    <w:p w14:paraId="0589BEB1" w14:textId="77777777" w:rsidR="0041682F" w:rsidRDefault="0041682F" w:rsidP="008F2B59"/>
    <w:p w14:paraId="10653AAF" w14:textId="77777777" w:rsidR="0041682F" w:rsidRDefault="0041682F" w:rsidP="008F2B59"/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3B6A353E" w14:textId="77777777" w:rsidR="00343220" w:rsidRDefault="00343220" w:rsidP="008F2B59"/>
    <w:p w14:paraId="66C7B3F4" w14:textId="77777777" w:rsidR="008327D0" w:rsidRPr="00343220" w:rsidRDefault="008327D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404CB44B" w14:textId="77777777" w:rsidR="003409EA" w:rsidRDefault="003409EA" w:rsidP="008F2B59"/>
    <w:p w14:paraId="3CB140B9" w14:textId="69BDDBB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lastRenderedPageBreak/>
        <w:t xml:space="preserve">PŘÍLOHA 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ČRo. </w:t>
      </w:r>
      <w:r w:rsidRPr="003E2A92">
        <w:lastRenderedPageBreak/>
        <w:t>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1E243A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04B373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092EE8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FD4D8C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38D252E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8D83C3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A8AD00A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A5BE31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224439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443092C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AC3B1B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086171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331BEF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67857E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1D240D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A0F64B5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B974859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05BF5AF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910BCE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22A916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C40A9" w14:textId="77777777" w:rsidR="00B93171" w:rsidRDefault="00B93171" w:rsidP="00B25F23">
      <w:pPr>
        <w:spacing w:line="240" w:lineRule="auto"/>
      </w:pPr>
      <w:r>
        <w:separator/>
      </w:r>
    </w:p>
  </w:endnote>
  <w:endnote w:type="continuationSeparator" w:id="0">
    <w:p w14:paraId="1C3AFB80" w14:textId="77777777" w:rsidR="00B93171" w:rsidRDefault="00B9317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9" w14:textId="77777777" w:rsidR="00F57614" w:rsidRDefault="00F5761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00653B00" w:rsidR="00F57614" w:rsidRPr="00727BE2" w:rsidRDefault="00B9317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34D40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934D40" w:rsidRPr="00934D40">
                                  <w:rPr>
                                    <w:rStyle w:val="slostrnky"/>
                                    <w:noProof/>
                                  </w:rPr>
                                  <w:t>20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00653B00" w:rsidR="00F57614" w:rsidRPr="00727BE2" w:rsidRDefault="00B9317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761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761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761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34D40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F5761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7614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934D40" w:rsidRPr="00934D40">
                            <w:rPr>
                              <w:rStyle w:val="slostrnky"/>
                              <w:noProof/>
                            </w:rPr>
                            <w:t>20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B" w14:textId="77777777" w:rsidR="00F57614" w:rsidRPr="00B5596D" w:rsidRDefault="00F5761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619ABC87" w:rsidR="00F57614" w:rsidRPr="00727BE2" w:rsidRDefault="00B9317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34D4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761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934D40" w:rsidRPr="00934D40">
                                  <w:rPr>
                                    <w:rStyle w:val="slostrnky"/>
                                    <w:noProof/>
                                  </w:rPr>
                                  <w:t>20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619ABC87" w:rsidR="00F57614" w:rsidRPr="00727BE2" w:rsidRDefault="00B9317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761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761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761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34D4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5761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7614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934D40" w:rsidRPr="00934D40">
                            <w:rPr>
                              <w:rStyle w:val="slostrnky"/>
                              <w:noProof/>
                            </w:rPr>
                            <w:t>20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EB01D" w14:textId="77777777" w:rsidR="00B93171" w:rsidRDefault="00B93171" w:rsidP="00B25F23">
      <w:pPr>
        <w:spacing w:line="240" w:lineRule="auto"/>
      </w:pPr>
      <w:r>
        <w:separator/>
      </w:r>
    </w:p>
  </w:footnote>
  <w:footnote w:type="continuationSeparator" w:id="0">
    <w:p w14:paraId="43092A14" w14:textId="77777777" w:rsidR="00B93171" w:rsidRDefault="00B9317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8" w14:textId="77777777" w:rsidR="00F57614" w:rsidRDefault="00F5761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5CCDA" w14:textId="77777777" w:rsidR="00F57614" w:rsidRDefault="00F5761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F57614" w:rsidRPr="00321BCC" w:rsidRDefault="00F5761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F57614" w:rsidRPr="00321BCC" w:rsidRDefault="00F5761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71260AA3"/>
    <w:multiLevelType w:val="hybridMultilevel"/>
    <w:tmpl w:val="BA864FAE"/>
    <w:lvl w:ilvl="0" w:tplc="4F863A94">
      <w:start w:val="3"/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9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7"/>
  </w:num>
  <w:num w:numId="21">
    <w:abstractNumId w:val="13"/>
  </w:num>
  <w:num w:numId="22">
    <w:abstractNumId w:val="17"/>
  </w:num>
  <w:num w:numId="23">
    <w:abstractNumId w:val="26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6745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2015E7"/>
    <w:rsid w:val="00202C70"/>
    <w:rsid w:val="00204CBF"/>
    <w:rsid w:val="00212195"/>
    <w:rsid w:val="00224433"/>
    <w:rsid w:val="0023258C"/>
    <w:rsid w:val="00237AE5"/>
    <w:rsid w:val="00240551"/>
    <w:rsid w:val="00243F2C"/>
    <w:rsid w:val="00266009"/>
    <w:rsid w:val="00266B59"/>
    <w:rsid w:val="00274011"/>
    <w:rsid w:val="002748B7"/>
    <w:rsid w:val="00295A22"/>
    <w:rsid w:val="002A4CCF"/>
    <w:rsid w:val="002C2E56"/>
    <w:rsid w:val="002C6C32"/>
    <w:rsid w:val="002D03F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24595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82F2E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5671"/>
    <w:rsid w:val="0041682F"/>
    <w:rsid w:val="00420BB5"/>
    <w:rsid w:val="00421F3D"/>
    <w:rsid w:val="00427653"/>
    <w:rsid w:val="004307C7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B0EE5"/>
    <w:rsid w:val="004B34BA"/>
    <w:rsid w:val="004B6A02"/>
    <w:rsid w:val="004C02AA"/>
    <w:rsid w:val="004C0632"/>
    <w:rsid w:val="004C0FE9"/>
    <w:rsid w:val="004C3C3B"/>
    <w:rsid w:val="004C4583"/>
    <w:rsid w:val="004C7A0B"/>
    <w:rsid w:val="004E25F9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35AE"/>
    <w:rsid w:val="00557B5B"/>
    <w:rsid w:val="005A36D3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17321"/>
    <w:rsid w:val="008327D0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1EB4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5A57"/>
    <w:rsid w:val="00911493"/>
    <w:rsid w:val="0091775D"/>
    <w:rsid w:val="00922C57"/>
    <w:rsid w:val="00924A31"/>
    <w:rsid w:val="00934D40"/>
    <w:rsid w:val="009403C9"/>
    <w:rsid w:val="00947F4C"/>
    <w:rsid w:val="00951CC1"/>
    <w:rsid w:val="009705FA"/>
    <w:rsid w:val="0097375A"/>
    <w:rsid w:val="00974D57"/>
    <w:rsid w:val="00977112"/>
    <w:rsid w:val="00982A9D"/>
    <w:rsid w:val="009918E8"/>
    <w:rsid w:val="009A093A"/>
    <w:rsid w:val="009A1AF3"/>
    <w:rsid w:val="009A2A7B"/>
    <w:rsid w:val="009A6791"/>
    <w:rsid w:val="009B0622"/>
    <w:rsid w:val="009B1480"/>
    <w:rsid w:val="009B64D0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93171"/>
    <w:rsid w:val="00BA16BB"/>
    <w:rsid w:val="00BA4F7F"/>
    <w:rsid w:val="00BB745F"/>
    <w:rsid w:val="00BC564B"/>
    <w:rsid w:val="00BD53CD"/>
    <w:rsid w:val="00BE6222"/>
    <w:rsid w:val="00BF0D18"/>
    <w:rsid w:val="00BF1450"/>
    <w:rsid w:val="00C03A46"/>
    <w:rsid w:val="00C0494E"/>
    <w:rsid w:val="00C11D8C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0FA4"/>
    <w:rsid w:val="00C8196E"/>
    <w:rsid w:val="00C87878"/>
    <w:rsid w:val="00C905E5"/>
    <w:rsid w:val="00C91609"/>
    <w:rsid w:val="00C91A45"/>
    <w:rsid w:val="00C927A6"/>
    <w:rsid w:val="00C93817"/>
    <w:rsid w:val="00C9493F"/>
    <w:rsid w:val="00C94987"/>
    <w:rsid w:val="00CA5876"/>
    <w:rsid w:val="00CB12DA"/>
    <w:rsid w:val="00CB1887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30458"/>
    <w:rsid w:val="00D43A77"/>
    <w:rsid w:val="00D452BB"/>
    <w:rsid w:val="00D50ADA"/>
    <w:rsid w:val="00D569E2"/>
    <w:rsid w:val="00D62816"/>
    <w:rsid w:val="00D64F9A"/>
    <w:rsid w:val="00D6512D"/>
    <w:rsid w:val="00D66C2E"/>
    <w:rsid w:val="00D70342"/>
    <w:rsid w:val="00D77D03"/>
    <w:rsid w:val="00D85488"/>
    <w:rsid w:val="00DA3832"/>
    <w:rsid w:val="00DB2CC5"/>
    <w:rsid w:val="00DB5E8D"/>
    <w:rsid w:val="00DC2CF2"/>
    <w:rsid w:val="00DD255D"/>
    <w:rsid w:val="00DD42A0"/>
    <w:rsid w:val="00DE000D"/>
    <w:rsid w:val="00E01747"/>
    <w:rsid w:val="00E07F55"/>
    <w:rsid w:val="00E106D2"/>
    <w:rsid w:val="00E152DE"/>
    <w:rsid w:val="00E40B22"/>
    <w:rsid w:val="00E41313"/>
    <w:rsid w:val="00E4745C"/>
    <w:rsid w:val="00E4753C"/>
    <w:rsid w:val="00E53743"/>
    <w:rsid w:val="00E6282A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F1E86"/>
    <w:rsid w:val="00F04994"/>
    <w:rsid w:val="00F144D3"/>
    <w:rsid w:val="00F16577"/>
    <w:rsid w:val="00F22F8D"/>
    <w:rsid w:val="00F3269F"/>
    <w:rsid w:val="00F36299"/>
    <w:rsid w:val="00F36FC8"/>
    <w:rsid w:val="00F40F01"/>
    <w:rsid w:val="00F544E0"/>
    <w:rsid w:val="00F57614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6D2"/>
    <w:rsid w:val="00FE2E96"/>
    <w:rsid w:val="00FE3167"/>
    <w:rsid w:val="00FE687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E14272FB67A4B881374E648BE880E" ma:contentTypeVersion="" ma:contentTypeDescription="Vytvoří nový dokument" ma:contentTypeScope="" ma:versionID="839bd1d74282e6775dda82729bdaaf6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066EDC3-BFFA-4D2B-A69E-7E161DB1A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5119C-7BCE-41C9-93FF-04E00D9FE78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AF6CEF6B-F897-4B5D-B985-5B62AB85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6112</Words>
  <Characters>36065</Characters>
  <Application>Microsoft Office Word</Application>
  <DocSecurity>0</DocSecurity>
  <Lines>300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Závazný návrh smlouvy</vt:lpstr>
      <vt:lpstr/>
    </vt:vector>
  </TitlesOfParts>
  <Company>ČRo</Company>
  <LinksUpToDate>false</LinksUpToDate>
  <CharactersWithSpaces>42093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Závazný návrh smlouvy</dc:title>
  <dc:creator>Malina Milan</dc:creator>
  <cp:lastModifiedBy>Vávra Tomáš</cp:lastModifiedBy>
  <cp:revision>3</cp:revision>
  <dcterms:created xsi:type="dcterms:W3CDTF">2017-11-14T15:15:00Z</dcterms:created>
  <dcterms:modified xsi:type="dcterms:W3CDTF">2017-11-14T15:39:00Z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0x01010063EE14272FB67A4B881374E648BE880E</vt:lpwstr>
  </property>
</Properties>
</file>