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67D16" w14:textId="77777777" w:rsidR="001B42DD" w:rsidRPr="00D73CD0" w:rsidRDefault="005F2764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2FB28" wp14:editId="665A0E3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F67B6" w14:textId="77777777" w:rsidR="005F2764" w:rsidRPr="00321BCC" w:rsidRDefault="005F2764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2FB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244F67B6" w14:textId="77777777" w:rsidR="005F2764" w:rsidRPr="00321BCC" w:rsidRDefault="005F2764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F2D6B" wp14:editId="37DE1D8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C7C16F" w14:textId="77777777" w:rsidR="005F2764" w:rsidRPr="00321BCC" w:rsidRDefault="005F2764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F2D6B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65C7C16F" w14:textId="77777777" w:rsidR="005F2764" w:rsidRPr="00321BCC" w:rsidRDefault="005F2764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1F1AE8" wp14:editId="47581AD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936B3" w14:textId="77777777" w:rsidR="005F2764" w:rsidRPr="00321BCC" w:rsidRDefault="005F2764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F1AE8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3CA936B3" w14:textId="77777777" w:rsidR="005F2764" w:rsidRPr="00321BCC" w:rsidRDefault="005F2764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A5471" wp14:editId="19563E9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2864A" w14:textId="77777777" w:rsidR="005F2764" w:rsidRPr="00321BCC" w:rsidRDefault="005F2764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A5471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32A2864A" w14:textId="77777777" w:rsidR="005F2764" w:rsidRPr="00321BCC" w:rsidRDefault="005F2764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w:t>KUPNÍ SMLOUVA</w:t>
      </w:r>
    </w:p>
    <w:p w14:paraId="54599D84" w14:textId="77777777" w:rsidR="001B42DD" w:rsidRPr="00D73CD0" w:rsidRDefault="005F2764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0CFCB9C8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566FE58D" w14:textId="77777777" w:rsidR="001B42DD" w:rsidRPr="00D73CD0" w:rsidRDefault="005F2764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1DC63F65" w14:textId="77777777" w:rsidR="00BA16BB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597AD21E" w14:textId="77777777" w:rsidR="00BA16BB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57DBAD3A" w14:textId="77777777" w:rsidR="00BA16BB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21916C3B" w14:textId="6DB6827B" w:rsidR="00BA16BB" w:rsidRPr="00D73CD0" w:rsidRDefault="005F2764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E004E1">
        <w:rPr>
          <w:color w:val="auto"/>
        </w:rPr>
        <w:t>Ing. Karl</w:t>
      </w:r>
      <w:r w:rsidR="00640BFD">
        <w:rPr>
          <w:color w:val="auto"/>
        </w:rPr>
        <w:t>em</w:t>
      </w:r>
      <w:r w:rsidR="00E004E1">
        <w:rPr>
          <w:color w:val="auto"/>
        </w:rPr>
        <w:t xml:space="preserve"> Zýk</w:t>
      </w:r>
      <w:r w:rsidR="00640BFD">
        <w:rPr>
          <w:color w:val="auto"/>
        </w:rPr>
        <w:t>ou, ředitelem Techniky a správy</w:t>
      </w:r>
    </w:p>
    <w:p w14:paraId="62F1C4F6" w14:textId="77777777" w:rsidR="00BA16BB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701DEDAD" w14:textId="77777777" w:rsidR="00BA16BB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bankovní spojení: Raiffeisenbank a.s., č. ú.: 1001040797/5500</w:t>
      </w:r>
    </w:p>
    <w:p w14:paraId="4733FDA8" w14:textId="77777777" w:rsidR="007220A3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E004E1">
        <w:rPr>
          <w:color w:val="auto"/>
        </w:rPr>
        <w:t>Ing. Jiří Truneček</w:t>
      </w:r>
      <w:r w:rsidR="00640BFD">
        <w:rPr>
          <w:color w:val="auto"/>
        </w:rPr>
        <w:t>, vedoucí infrastruktury IT</w:t>
      </w:r>
    </w:p>
    <w:p w14:paraId="309700F5" w14:textId="77777777" w:rsidR="007220A3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E004E1">
        <w:rPr>
          <w:color w:val="auto"/>
        </w:rPr>
        <w:t> 221 553 195</w:t>
      </w:r>
    </w:p>
    <w:p w14:paraId="2C0C7233" w14:textId="77777777" w:rsidR="007220A3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E004E1">
        <w:rPr>
          <w:color w:val="auto"/>
        </w:rPr>
        <w:t>Jiri.Trunecek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7485D508" w14:textId="77777777" w:rsidR="00182D39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4D4A9130" w14:textId="77777777" w:rsidR="00182D39" w:rsidRPr="00D73CD0" w:rsidRDefault="00182D39" w:rsidP="00BA16BB"/>
    <w:p w14:paraId="40B0ACE3" w14:textId="77777777" w:rsidR="00BA16BB" w:rsidRPr="00D73CD0" w:rsidRDefault="005F2764" w:rsidP="00BA16BB">
      <w:r w:rsidRPr="00D73CD0">
        <w:t>a</w:t>
      </w:r>
    </w:p>
    <w:p w14:paraId="54E5611F" w14:textId="77777777" w:rsidR="00BA16BB" w:rsidRPr="00D73CD0" w:rsidRDefault="00BA16BB" w:rsidP="00BA16BB"/>
    <w:p w14:paraId="7ECBC83C" w14:textId="77777777" w:rsidR="006D0812" w:rsidRPr="00D73CD0" w:rsidRDefault="005F2764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6ACDAE2A" w14:textId="77777777" w:rsidR="008F1458" w:rsidRPr="00D73CD0" w:rsidRDefault="005F2764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6F9F7193" w14:textId="77777777" w:rsidR="006D0812" w:rsidRPr="00D73CD0" w:rsidRDefault="005F2764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52D4F908" w14:textId="1F7AF0A4" w:rsidR="004C40C4" w:rsidRPr="00D73CD0" w:rsidRDefault="005F2764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575A89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4F627FA6" w14:textId="77777777" w:rsidR="006D0812" w:rsidRPr="00D73CD0" w:rsidRDefault="005F2764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10C7D1AF" w14:textId="77777777" w:rsidR="00546A76" w:rsidRPr="00D73CD0" w:rsidRDefault="005F2764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], č. ú.</w:t>
      </w:r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CC3D9E6" w14:textId="77777777" w:rsidR="006D0812" w:rsidRPr="00D73CD0" w:rsidRDefault="005F2764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608B36A7" w14:textId="77777777" w:rsidR="006D0812" w:rsidRPr="00D73CD0" w:rsidRDefault="005F2764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7BC864C" w14:textId="77777777" w:rsidR="006D0812" w:rsidRPr="00D73CD0" w:rsidRDefault="005F2764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76790572" w14:textId="77777777" w:rsidR="00182D39" w:rsidRPr="00D73CD0" w:rsidRDefault="005F2764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1BD2DF93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03D7D94E" w14:textId="77777777" w:rsidR="00182D39" w:rsidRPr="00D73CD0" w:rsidRDefault="005F2764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>
        <w:rPr>
          <w:color w:val="auto"/>
        </w:rPr>
        <w:t xml:space="preserve"> anebo jednotlivě jako „</w:t>
      </w:r>
      <w:r w:rsidRPr="008C0798">
        <w:rPr>
          <w:b/>
          <w:color w:val="auto"/>
        </w:rPr>
        <w:t>smluvní strana</w:t>
      </w:r>
      <w:r>
        <w:rPr>
          <w:color w:val="auto"/>
        </w:rPr>
        <w:t>“</w:t>
      </w:r>
      <w:r w:rsidRPr="00D73CD0">
        <w:rPr>
          <w:color w:val="auto"/>
        </w:rPr>
        <w:t>)</w:t>
      </w:r>
    </w:p>
    <w:p w14:paraId="0AB84315" w14:textId="77777777" w:rsidR="00182D39" w:rsidRPr="00D73CD0" w:rsidRDefault="00182D39" w:rsidP="00BA16BB"/>
    <w:p w14:paraId="59F22384" w14:textId="7A50D64A" w:rsidR="00BA16BB" w:rsidRPr="00D73CD0" w:rsidRDefault="005F2764" w:rsidP="00182D39">
      <w:pPr>
        <w:jc w:val="center"/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 ve znění pozdějších předpisů (dále jen „</w:t>
      </w:r>
      <w:r w:rsidR="00BE6222" w:rsidRPr="00D73CD0">
        <w:rPr>
          <w:b/>
        </w:rPr>
        <w:t>OZ</w:t>
      </w:r>
      <w:r w:rsidR="00BE6222" w:rsidRPr="00D73CD0">
        <w:t xml:space="preserve">“) </w:t>
      </w:r>
      <w:r w:rsidR="00E17BAD" w:rsidRPr="00D73CD0">
        <w:t>v rámci veřejné zakázky č.</w:t>
      </w:r>
      <w:r w:rsidR="00AB30B5" w:rsidRPr="00D73CD0">
        <w:t xml:space="preserve"> </w:t>
      </w:r>
      <w:r w:rsidR="00E17BAD" w:rsidRPr="00D73CD0">
        <w:t xml:space="preserve">j. </w:t>
      </w:r>
      <w:r w:rsidR="00E004E1" w:rsidRPr="008C0798">
        <w:rPr>
          <w:b/>
        </w:rPr>
        <w:t>MR29</w:t>
      </w:r>
      <w:r w:rsidRPr="008C0798">
        <w:rPr>
          <w:b/>
        </w:rPr>
        <w:t>/</w:t>
      </w:r>
      <w:r w:rsidR="00E004E1" w:rsidRPr="008C0798">
        <w:rPr>
          <w:b/>
        </w:rPr>
        <w:t>2021</w:t>
      </w:r>
      <w:r>
        <w:t xml:space="preserve"> s názvem „</w:t>
      </w:r>
      <w:commentRangeStart w:id="0"/>
      <w:r w:rsidRPr="008C0798">
        <w:rPr>
          <w:b/>
        </w:rPr>
        <w:t>I</w:t>
      </w:r>
      <w:r w:rsidR="00FF1B18">
        <w:rPr>
          <w:b/>
        </w:rPr>
        <w:t>PT</w:t>
      </w:r>
      <w:commentRangeEnd w:id="0"/>
      <w:r w:rsidRPr="008C0798">
        <w:rPr>
          <w:b/>
        </w:rPr>
        <w:t>– u</w:t>
      </w:r>
      <w:bookmarkStart w:id="1" w:name="_GoBack"/>
      <w:bookmarkEnd w:id="1"/>
      <w:r w:rsidRPr="008C0798">
        <w:rPr>
          <w:b/>
        </w:rPr>
        <w:t>pgrade</w:t>
      </w:r>
      <w:r>
        <w:rPr>
          <w:b/>
        </w:rPr>
        <w:t>“</w:t>
      </w:r>
      <w:r>
        <w:t xml:space="preserve"> (dále jen jako „</w:t>
      </w:r>
      <w:r w:rsidRPr="008C0798">
        <w:rPr>
          <w:b/>
        </w:rPr>
        <w:t>veřejná zakázka“</w:t>
      </w:r>
      <w:r>
        <w:t>)</w:t>
      </w:r>
      <w:r w:rsidR="00E17BAD" w:rsidRPr="00D73CD0">
        <w:rPr>
          <w:rFonts w:cs="Arial"/>
          <w:b/>
          <w:szCs w:val="20"/>
        </w:rPr>
        <w:t xml:space="preserve"> </w:t>
      </w:r>
      <w:r w:rsidR="00182D39" w:rsidRPr="00D73CD0">
        <w:t>tuto kupní smlouvu (dále jen jako „</w:t>
      </w:r>
      <w:r w:rsidR="00182D39" w:rsidRPr="00D73CD0">
        <w:rPr>
          <w:b/>
        </w:rPr>
        <w:t>smlouva</w:t>
      </w:r>
      <w:r w:rsidR="00182D39" w:rsidRPr="00D73CD0">
        <w:t>“)</w:t>
      </w:r>
    </w:p>
    <w:p w14:paraId="39496335" w14:textId="77777777" w:rsidR="00BA16BB" w:rsidRPr="00D73CD0" w:rsidRDefault="005F2764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4F6FC371" w14:textId="660C6D45" w:rsidR="00E004E1" w:rsidRDefault="005F2764" w:rsidP="00E004E1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>
        <w:t>i</w:t>
      </w:r>
      <w:r w:rsidR="00884C6F" w:rsidRPr="00D73CD0">
        <w:t>, která j</w:t>
      </w:r>
      <w:r>
        <w:t>sou</w:t>
      </w:r>
      <w:r w:rsidR="00884C6F" w:rsidRPr="00D73CD0">
        <w:t xml:space="preserve"> předmětem koupě</w:t>
      </w:r>
      <w:r>
        <w:t>:</w:t>
      </w:r>
    </w:p>
    <w:p w14:paraId="3FBB1BC0" w14:textId="3B76941E" w:rsidR="005F2764" w:rsidRPr="00E004E1" w:rsidRDefault="005F2764" w:rsidP="008C0798">
      <w:pPr>
        <w:pStyle w:val="ListNumber-ContractCzechRadio"/>
        <w:numPr>
          <w:ilvl w:val="0"/>
          <w:numId w:val="44"/>
        </w:numPr>
        <w:jc w:val="both"/>
      </w:pPr>
      <w:r w:rsidRPr="00E004E1">
        <w:rPr>
          <w:rFonts w:cs="Arial"/>
          <w:szCs w:val="20"/>
        </w:rPr>
        <w:t>Upgrade 2 ks hlasových bran formou výměny hlasových bran stávajícího typu</w:t>
      </w:r>
    </w:p>
    <w:p w14:paraId="77F890EE" w14:textId="0ACC4446" w:rsidR="005F2764" w:rsidRPr="00B21AB1" w:rsidRDefault="005F2764" w:rsidP="008C0798">
      <w:pPr>
        <w:pStyle w:val="ListNumber-ContractCzechRadio"/>
        <w:numPr>
          <w:ilvl w:val="0"/>
          <w:numId w:val="44"/>
        </w:numPr>
        <w:jc w:val="both"/>
        <w:rPr>
          <w:rFonts w:cs="Arial"/>
          <w:szCs w:val="20"/>
        </w:rPr>
      </w:pPr>
      <w:r w:rsidRPr="00B21AB1">
        <w:rPr>
          <w:rFonts w:cs="Arial"/>
          <w:szCs w:val="20"/>
        </w:rPr>
        <w:t>Upgrade 7 ks virtuálních serverů</w:t>
      </w:r>
    </w:p>
    <w:p w14:paraId="15DCF98B" w14:textId="77777777" w:rsidR="00E004E1" w:rsidRPr="008C0798" w:rsidRDefault="005F2764" w:rsidP="008C0798">
      <w:pPr>
        <w:pStyle w:val="ListNumber-ContractCzechRadio"/>
        <w:numPr>
          <w:ilvl w:val="0"/>
          <w:numId w:val="44"/>
        </w:numPr>
        <w:jc w:val="both"/>
        <w:rPr>
          <w:rFonts w:cs="Arial"/>
          <w:szCs w:val="20"/>
        </w:rPr>
      </w:pPr>
      <w:r w:rsidRPr="00B21AB1">
        <w:rPr>
          <w:rFonts w:cs="Arial"/>
          <w:szCs w:val="20"/>
        </w:rPr>
        <w:t>Upgrade 4 ks systémů ZOOM Int. CallREC pro nahrávání telefonních hovorů</w:t>
      </w:r>
    </w:p>
    <w:p w14:paraId="595DFF5E" w14:textId="77777777" w:rsidR="00E004E1" w:rsidRDefault="00E004E1" w:rsidP="00E004E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672"/>
        <w:jc w:val="both"/>
        <w:rPr>
          <w:rFonts w:cs="Arial"/>
          <w:szCs w:val="20"/>
        </w:rPr>
      </w:pPr>
    </w:p>
    <w:p w14:paraId="061AA9FF" w14:textId="77777777" w:rsidR="00BA16BB" w:rsidRPr="00E004E1" w:rsidRDefault="005F2764" w:rsidP="00E004E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 w:rsidRPr="00D73CD0">
        <w:t>(</w:t>
      </w:r>
      <w:r>
        <w:t xml:space="preserve">společně </w:t>
      </w:r>
      <w:r w:rsidRPr="00D73CD0">
        <w:t>dále také jako „</w:t>
      </w:r>
      <w:r w:rsidRPr="008C0798">
        <w:rPr>
          <w:b/>
        </w:rPr>
        <w:t>zboží</w:t>
      </w:r>
      <w:r w:rsidRPr="00D73CD0">
        <w:t xml:space="preserve">“) blíže specifikované v příloze této smlouvy a umožnit kupujícímu nabýt vlastnické právo ke zboží na straně jedné a </w:t>
      </w:r>
      <w:r w:rsidR="00E4753C" w:rsidRPr="00D73CD0">
        <w:t xml:space="preserve">povinnost </w:t>
      </w:r>
      <w:r w:rsidRPr="00D73CD0">
        <w:t>kupujícího zboží převzít a zaplatit prodávajícímu kupní cenu na straně druhé</w:t>
      </w:r>
      <w:r w:rsidR="007905AF" w:rsidRPr="00E004E1">
        <w:rPr>
          <w:rFonts w:cs="Arial"/>
        </w:rPr>
        <w:t>;</w:t>
      </w:r>
      <w:r w:rsidR="007905AF" w:rsidRPr="00D73CD0">
        <w:t xml:space="preserve"> to vše dle podmínek stanovených touto smlouvou</w:t>
      </w:r>
      <w:r w:rsidRPr="00D73CD0">
        <w:t xml:space="preserve">. </w:t>
      </w:r>
    </w:p>
    <w:p w14:paraId="47F83DE1" w14:textId="77777777" w:rsidR="00BA16BB" w:rsidRPr="00D73CD0" w:rsidRDefault="005F2764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lastRenderedPageBreak/>
        <w:t>Místo a doba plnění</w:t>
      </w:r>
    </w:p>
    <w:p w14:paraId="196ABAF4" w14:textId="77777777" w:rsidR="00BA16BB" w:rsidRPr="00D73CD0" w:rsidRDefault="005F2764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E004E1" w:rsidRPr="008C0798">
        <w:rPr>
          <w:b/>
        </w:rPr>
        <w:t>Český rozhlas, Vinohradská 12, 120 99 Praha 2</w:t>
      </w:r>
      <w:r>
        <w:rPr>
          <w:b/>
        </w:rPr>
        <w:t>.</w:t>
      </w:r>
    </w:p>
    <w:p w14:paraId="2E92F0CB" w14:textId="77777777" w:rsidR="00BA16BB" w:rsidRPr="00D73CD0" w:rsidRDefault="005F2764" w:rsidP="00A57352">
      <w:pPr>
        <w:pStyle w:val="ListNumber-ContractCzechRadio"/>
        <w:jc w:val="both"/>
      </w:pPr>
      <w:r w:rsidRPr="00D73CD0">
        <w:t xml:space="preserve">Prodávající se zavazuje odevzdat zboží v místě plnění na vlastní náklad nejpozději </w:t>
      </w:r>
      <w:r w:rsidRPr="008C0798">
        <w:rPr>
          <w:b/>
        </w:rPr>
        <w:t xml:space="preserve">do </w:t>
      </w:r>
      <w:r w:rsidR="00E004E1" w:rsidRPr="008C0798">
        <w:rPr>
          <w:b/>
        </w:rPr>
        <w:t xml:space="preserve">6 měsíců </w:t>
      </w:r>
      <w:r w:rsidR="00E004E1">
        <w:t>od účinnosti této smlouvy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562C6087" w14:textId="77777777" w:rsidR="00BA16BB" w:rsidRPr="00D73CD0" w:rsidRDefault="005F2764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7F801180" w14:textId="0AD64B9F" w:rsidR="00BA16BB" w:rsidRPr="00D73CD0" w:rsidRDefault="005F2764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ve veřejné zakázce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-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FF1B18">
        <w:rPr>
          <w:b/>
        </w:rPr>
        <w:t>bez DPH</w:t>
      </w:r>
      <w:r w:rsidRPr="00D73CD0">
        <w:t xml:space="preserve">. Cena s DPH činí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>],</w:t>
      </w:r>
      <w:r w:rsidR="00AB30B5" w:rsidRPr="00D73CD0">
        <w:rPr>
          <w:rFonts w:cs="Arial"/>
          <w:szCs w:val="20"/>
        </w:rPr>
        <w:t>-</w:t>
      </w:r>
      <w:r w:rsidR="006D0812" w:rsidRPr="00D73CD0">
        <w:rPr>
          <w:rFonts w:cs="Arial"/>
          <w:szCs w:val="20"/>
        </w:rPr>
        <w:t xml:space="preserve">- </w:t>
      </w:r>
      <w:r w:rsidRPr="00D73CD0">
        <w:t>Kč.</w:t>
      </w:r>
      <w:r w:rsidR="00EE76E0" w:rsidRPr="00D73CD0">
        <w:t xml:space="preserve"> Rozpis ceny je uveden v příloze této smlouvy.</w:t>
      </w:r>
    </w:p>
    <w:p w14:paraId="6F2C625E" w14:textId="77777777" w:rsidR="00BA16BB" w:rsidRPr="00D73CD0" w:rsidRDefault="005F2764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>
        <w:t>, cla a jiné poplatky, a další náklady nezbytné k řádnému plnění této smlouvy</w:t>
      </w:r>
      <w:r w:rsidRPr="00D73CD0">
        <w:t>).</w:t>
      </w:r>
    </w:p>
    <w:p w14:paraId="14C6AE8E" w14:textId="77777777" w:rsidR="00BA16BB" w:rsidRPr="00D73CD0" w:rsidRDefault="005F2764" w:rsidP="00A57352">
      <w:pPr>
        <w:pStyle w:val="ListNumber-ContractCzechRadio"/>
        <w:jc w:val="both"/>
      </w:pPr>
      <w:r w:rsidRPr="00D73CD0">
        <w:t xml:space="preserve">Úhrada ceny bude provedena 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B21AB1">
        <w:t xml:space="preserve"> vystaveného prodávajícím</w:t>
      </w:r>
      <w:r w:rsidR="00F62186" w:rsidRPr="00D73CD0">
        <w:t>.</w:t>
      </w:r>
      <w:r w:rsidRPr="00D73CD0">
        <w:t xml:space="preserve"> Prodávající má právo na zaplacení ceny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2523418C" w14:textId="148F7435" w:rsidR="007417F7" w:rsidRPr="00D73CD0" w:rsidRDefault="005F2764" w:rsidP="00A57352">
      <w:pPr>
        <w:pStyle w:val="ListNumber-ContractCzechRadio"/>
        <w:jc w:val="both"/>
      </w:pPr>
      <w:r w:rsidRPr="00D73CD0">
        <w:t xml:space="preserve">Splatnost faktury činí 24 dnů od data jejího vystavení za předpokladu jejího doručení kupujícímu do 3 dnů od data vystavení. V případě pozdějšího doručení faktury kupujícímu činí </w:t>
      </w:r>
      <w:r w:rsidR="00B21AB1">
        <w:t>lhůta</w:t>
      </w:r>
      <w:r w:rsidR="00B21AB1" w:rsidRPr="00D73CD0">
        <w:t xml:space="preserve"> </w:t>
      </w:r>
      <w:r w:rsidRPr="00D73CD0">
        <w:t xml:space="preserve">splatnosti faktury 21 dnů ode dne jejího skutečného doručení kupujícímu. </w:t>
      </w:r>
    </w:p>
    <w:p w14:paraId="54966808" w14:textId="168654BF" w:rsidR="005D4C3A" w:rsidRPr="00D73CD0" w:rsidRDefault="005F2764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B21AB1">
        <w:t>lhůta</w:t>
      </w:r>
      <w:r w:rsidR="00B21AB1" w:rsidRPr="00D73CD0">
        <w:t xml:space="preserve"> </w:t>
      </w:r>
      <w:r w:rsidRPr="00D73CD0">
        <w:t xml:space="preserve">splatnosti neběží a začíná plynout </w:t>
      </w:r>
      <w:r w:rsidR="00B21AB1">
        <w:t>od počátku</w:t>
      </w:r>
      <w:r w:rsidR="00B21AB1" w:rsidRPr="00D73CD0">
        <w:t xml:space="preserve"> </w:t>
      </w:r>
      <w:r w:rsidRPr="00D73CD0">
        <w:t>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2921E262" w14:textId="7A48600B" w:rsidR="005D4C3A" w:rsidRPr="00D73CD0" w:rsidRDefault="00B21AB1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</w:t>
      </w:r>
      <w:r w:rsidR="005F2764" w:rsidRPr="00D73CD0">
        <w:t>zdanitelného plnění prohlašuje, že není v souladu s § 106a zákona č.</w:t>
      </w:r>
      <w:r w:rsidR="00AB30B5" w:rsidRPr="00D73CD0">
        <w:t> </w:t>
      </w:r>
      <w:r w:rsidR="005F2764" w:rsidRPr="00D73CD0">
        <w:t>235/2004</w:t>
      </w:r>
      <w:r w:rsidR="00AB30B5" w:rsidRPr="00D73CD0">
        <w:t> </w:t>
      </w:r>
      <w:r w:rsidR="005F2764" w:rsidRPr="00D73CD0">
        <w:t xml:space="preserve">Sb., o </w:t>
      </w:r>
      <w:r w:rsidR="00AB30B5" w:rsidRPr="00D73CD0">
        <w:t>dani z přidané hodnoty</w:t>
      </w:r>
      <w:r w:rsidR="00EE76E0" w:rsidRPr="00D73CD0">
        <w:t>,</w:t>
      </w:r>
      <w:r w:rsidR="005F2764" w:rsidRPr="00D73CD0">
        <w:t xml:space="preserve"> v</w:t>
      </w:r>
      <w:r w:rsidR="00EE76E0" w:rsidRPr="00D73CD0">
        <w:t xml:space="preserve">e </w:t>
      </w:r>
      <w:r w:rsidR="005F2764" w:rsidRPr="00D73CD0">
        <w:t>znění </w:t>
      </w:r>
      <w:r w:rsidR="00EE76E0" w:rsidRPr="00D73CD0">
        <w:t xml:space="preserve">pozdějších předpisů </w:t>
      </w:r>
      <w:r w:rsidR="00AB1E80" w:rsidRPr="00D73CD0">
        <w:t>(</w:t>
      </w:r>
      <w:r w:rsidR="007905AF" w:rsidRPr="00D73CD0">
        <w:t>dále jen „</w:t>
      </w:r>
      <w:r w:rsidR="00AB1E80" w:rsidRPr="00D73CD0">
        <w:rPr>
          <w:b/>
        </w:rPr>
        <w:t>ZoDPH</w:t>
      </w:r>
      <w:r w:rsidR="007905AF" w:rsidRPr="00D73CD0">
        <w:t>“</w:t>
      </w:r>
      <w:r w:rsidR="00AB1E80" w:rsidRPr="00D73CD0">
        <w:t>)</w:t>
      </w:r>
      <w:r w:rsidR="003735CB" w:rsidRPr="00D73CD0">
        <w:t>,</w:t>
      </w:r>
      <w:r w:rsidR="00AB1E80" w:rsidRPr="00D73CD0">
        <w:t xml:space="preserve"> </w:t>
      </w:r>
      <w:r w:rsidR="005F2764" w:rsidRPr="00D73CD0">
        <w:t xml:space="preserve">tzv. nespolehlivým plátcem. Smluvní strany se dohodly, že v případě, že Český rozhlas jako příjemce zdanitelného plnění  bude ručit v souladu s § 109 </w:t>
      </w:r>
      <w:r w:rsidR="00AB1E80" w:rsidRPr="00D73CD0">
        <w:t>Zo</w:t>
      </w:r>
      <w:r w:rsidR="005F2764" w:rsidRPr="00D73CD0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3F69D86" w14:textId="77777777" w:rsidR="005F2764" w:rsidRPr="00D73CD0" w:rsidRDefault="005F2764" w:rsidP="005F2764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7705E1F0" w14:textId="77777777" w:rsidR="005F2764" w:rsidRDefault="005F2764" w:rsidP="005F2764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 xml:space="preserve"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</w:t>
      </w:r>
      <w:r w:rsidRPr="00D73CD0">
        <w:lastRenderedPageBreak/>
        <w:t>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37B9A03C" w14:textId="77777777" w:rsidR="005F2764" w:rsidRPr="00D73CD0" w:rsidRDefault="005F2764" w:rsidP="005F2764">
      <w:pPr>
        <w:pStyle w:val="ListNumber-ContractCzechRadio"/>
        <w:jc w:val="both"/>
      </w:pPr>
      <w:r w:rsidRPr="00D73CD0">
        <w:t xml:space="preserve">Odevzdáním zboží je současné splnění následujících podmínek: </w:t>
      </w:r>
    </w:p>
    <w:p w14:paraId="6744F4F0" w14:textId="77777777" w:rsidR="005F2764" w:rsidRPr="00D73CD0" w:rsidRDefault="005F2764" w:rsidP="005F2764">
      <w:pPr>
        <w:pStyle w:val="ListLetter-ContractCzechRadio"/>
        <w:jc w:val="both"/>
      </w:pPr>
      <w:r w:rsidRPr="00D73CD0">
        <w:t>umožnění kupujícímu nakládat se zbožím v místě plnění podle této smlouvy;</w:t>
      </w:r>
    </w:p>
    <w:p w14:paraId="5B757E8B" w14:textId="77777777" w:rsidR="005F2764" w:rsidRPr="00D73CD0" w:rsidRDefault="005F2764" w:rsidP="005F2764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049B227D" w14:textId="300C4224" w:rsidR="005F2764" w:rsidRPr="00B21AB1" w:rsidRDefault="005F2764" w:rsidP="008C0798">
      <w:pPr>
        <w:pStyle w:val="ListLetter-ContractCzechRadio"/>
        <w:jc w:val="both"/>
      </w:pPr>
      <w:r w:rsidRPr="00D73CD0">
        <w:t>podpis protokolu o odevzdání ob</w:t>
      </w:r>
      <w:r w:rsidR="00B21AB1">
        <w:t>ěma</w:t>
      </w:r>
      <w:r w:rsidRPr="00D73CD0">
        <w:t xml:space="preserve"> smluvní</w:t>
      </w:r>
      <w:r w:rsidR="00B21AB1">
        <w:t>mi</w:t>
      </w:r>
      <w:r w:rsidRPr="00D73CD0">
        <w:t xml:space="preserve"> stran</w:t>
      </w:r>
      <w:r w:rsidR="00B21AB1">
        <w:t>ami</w:t>
      </w:r>
      <w:r w:rsidRPr="00D73CD0">
        <w:t>.</w:t>
      </w:r>
    </w:p>
    <w:p w14:paraId="4E86C67D" w14:textId="77777777" w:rsidR="008D4999" w:rsidRPr="00D73CD0" w:rsidRDefault="005F2764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23798247" w14:textId="77777777" w:rsidR="00F62186" w:rsidRPr="00D73CD0" w:rsidRDefault="005F2764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Pr="00D73CD0">
        <w:t xml:space="preserve"> pověřené osobě). </w:t>
      </w:r>
    </w:p>
    <w:p w14:paraId="398EF16B" w14:textId="77777777" w:rsidR="008D4999" w:rsidRPr="00D73CD0" w:rsidRDefault="005F2764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předchozího </w:t>
      </w:r>
      <w:r w:rsidR="007905AF" w:rsidRPr="00D73CD0">
        <w:t>odstavce tohoto článku smlouvy</w:t>
      </w:r>
      <w:r w:rsidRPr="00D73CD0">
        <w:t>.</w:t>
      </w:r>
    </w:p>
    <w:p w14:paraId="72A9CBDF" w14:textId="77777777" w:rsidR="00A11BC0" w:rsidRPr="00D73CD0" w:rsidRDefault="005F2764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76FF2305" w14:textId="77777777" w:rsidR="00A11BC0" w:rsidRPr="00D73CD0" w:rsidRDefault="005F2764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34EF5E25" w14:textId="4923B7C7" w:rsidR="00540F2C" w:rsidRPr="00D73CD0" w:rsidRDefault="005F2764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E004E1" w:rsidRPr="008C0798">
        <w:rPr>
          <w:b/>
        </w:rPr>
        <w:t>12</w:t>
      </w:r>
      <w:r w:rsidR="00C9493F" w:rsidRPr="008C0798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5DFB777F" w14:textId="0767E757" w:rsidR="00AD3095" w:rsidRPr="00D73CD0" w:rsidRDefault="005F2764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</w:t>
      </w:r>
      <w:r w:rsidR="00B21AB1">
        <w:t xml:space="preserve">zboží </w:t>
      </w:r>
      <w:r w:rsidR="005264A9" w:rsidRPr="00D73CD0">
        <w:t>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B21AB1">
        <w:t xml:space="preserve">písemného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 w:rsidR="00B21AB1">
        <w:t>V případě, že kupující vadu zboží odstraní sám na náklady prodávajícího, je prodávající povinen</w:t>
      </w:r>
      <w:r w:rsidR="00B21AB1" w:rsidRPr="006D0812">
        <w:t xml:space="preserve"> </w:t>
      </w:r>
      <w:r w:rsidR="00B21AB1">
        <w:t>tyto náklady kupujícímu neprodleně uhradit.</w:t>
      </w:r>
    </w:p>
    <w:p w14:paraId="13243CF9" w14:textId="77777777" w:rsidR="00AD3095" w:rsidRDefault="005F2764" w:rsidP="00A57352">
      <w:pPr>
        <w:pStyle w:val="ListNumber-ContractCzechRadio"/>
        <w:jc w:val="both"/>
      </w:pPr>
      <w:r w:rsidRPr="00D73CD0">
        <w:t xml:space="preserve">Výše uvedená ustanovení této smlouvy se přiměřeně použijí i na vady dokladů, nutných pro užívání zboží. </w:t>
      </w:r>
    </w:p>
    <w:p w14:paraId="7043DD44" w14:textId="77777777" w:rsidR="00B8511F" w:rsidRPr="00D73CD0" w:rsidRDefault="00B8511F" w:rsidP="00A57352">
      <w:pPr>
        <w:pStyle w:val="ListNumber-ContractCzechRadio"/>
        <w:jc w:val="both"/>
      </w:pPr>
      <w:r>
        <w:t>Prodávající je povinen uhradit kupujícímu náklady vzniklé při uplatnění jeho práv a nároku z odpovědnosti za vady.</w:t>
      </w:r>
    </w:p>
    <w:p w14:paraId="768C7E79" w14:textId="77777777" w:rsidR="008D1F83" w:rsidRPr="00D73CD0" w:rsidRDefault="005F2764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06DCE311" w14:textId="77777777" w:rsidR="008D1F83" w:rsidRPr="00D73CD0" w:rsidRDefault="005F2764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>počínaje</w:t>
      </w:r>
      <w:r w:rsidR="00B21AB1">
        <w:t xml:space="preserve"> řadovým</w:t>
      </w:r>
      <w:r w:rsidRPr="00D73CD0">
        <w:t xml:space="preserve"> číslem 1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62FFC76F" w14:textId="77777777" w:rsidR="008D1F83" w:rsidRPr="00D73CD0" w:rsidRDefault="005F2764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B9134" wp14:editId="7CEE3E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6A84C0A" w14:textId="77777777" w:rsidR="005F2764" w:rsidRPr="008519AB" w:rsidRDefault="005F2764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B9134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36A84C0A" w14:textId="77777777" w:rsidR="005F2764" w:rsidRPr="008519AB" w:rsidRDefault="005F2764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992D960" w14:textId="77777777" w:rsidR="00A11BC0" w:rsidRPr="00D73CD0" w:rsidRDefault="005F2764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lastRenderedPageBreak/>
        <w:t>Sankce, zánik smlouvy</w:t>
      </w:r>
    </w:p>
    <w:p w14:paraId="61A9E880" w14:textId="13648FB3" w:rsidR="001C316E" w:rsidRPr="00D73CD0" w:rsidRDefault="005F2764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E004E1" w:rsidRPr="008C0798">
        <w:rPr>
          <w:b/>
        </w:rPr>
        <w:t>500,-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 xml:space="preserve">den </w:t>
      </w:r>
      <w:r w:rsidR="008C0798" w:rsidRPr="00D73CD0">
        <w:t>prodlení.</w:t>
      </w:r>
    </w:p>
    <w:p w14:paraId="4E497248" w14:textId="548F18F3" w:rsidR="007417F7" w:rsidRPr="00D73CD0" w:rsidRDefault="005F2764" w:rsidP="007417F7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vyřízením reklamace zboží, zavazuje se zaplatit kupujícímu smluvní pokutu ve výši </w:t>
      </w:r>
      <w:r w:rsidR="00E004E1" w:rsidRPr="008C0798">
        <w:rPr>
          <w:b/>
        </w:rPr>
        <w:t>500</w:t>
      </w:r>
      <w:r w:rsidRPr="008C0798">
        <w:rPr>
          <w:b/>
        </w:rPr>
        <w:t>,</w:t>
      </w:r>
      <w:r w:rsidR="00E004E1" w:rsidRPr="008C0798">
        <w:rPr>
          <w:b/>
        </w:rPr>
        <w:t>- Kč</w:t>
      </w:r>
      <w:r w:rsidRPr="00D73CD0">
        <w:t xml:space="preserve"> za každý </w:t>
      </w:r>
      <w:r w:rsidR="00B21AB1">
        <w:t xml:space="preserve">jednotlivý případ a každý </w:t>
      </w:r>
      <w:r w:rsidRPr="00D73CD0">
        <w:t xml:space="preserve">započatý den prodlení. </w:t>
      </w:r>
    </w:p>
    <w:p w14:paraId="72B210B1" w14:textId="77777777" w:rsidR="00546A76" w:rsidRPr="008C0798" w:rsidRDefault="005F2764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</w:t>
      </w:r>
      <w:r w:rsidR="00EE76E0" w:rsidRPr="008C0798">
        <w:rPr>
          <w:b/>
        </w:rPr>
        <w:t xml:space="preserve">0,05 </w:t>
      </w:r>
      <w:r w:rsidRPr="008C0798">
        <w:rPr>
          <w:b/>
        </w:rPr>
        <w:t>%</w:t>
      </w:r>
      <w:r w:rsidRPr="00D73CD0">
        <w:t xml:space="preserve">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34373CA7" w14:textId="77777777" w:rsidR="00B8511F" w:rsidRPr="00D1161F" w:rsidRDefault="00B8511F" w:rsidP="00B8511F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461EB14D" w14:textId="77777777" w:rsidR="00B8511F" w:rsidRPr="00D1161F" w:rsidRDefault="00B8511F" w:rsidP="00B8511F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2284C0A0" w14:textId="77777777" w:rsidR="00B8511F" w:rsidRPr="00D73CD0" w:rsidRDefault="00B8511F" w:rsidP="00B8511F">
      <w:pPr>
        <w:pStyle w:val="ListNumber-ContractCzechRadio"/>
        <w:jc w:val="both"/>
        <w:rPr>
          <w:b/>
          <w:szCs w:val="24"/>
        </w:rPr>
      </w:pPr>
      <w:r w:rsidRPr="00092A07">
        <w:t xml:space="preserve">V případě, kdy </w:t>
      </w:r>
      <w:r>
        <w:t>by</w:t>
      </w:r>
      <w:r w:rsidRPr="00092A07">
        <w:t xml:space="preserve"> nesplnění některé povinnosti dle této smlouvy, pro kterou je stanovena smluvní pokuta, </w:t>
      </w:r>
      <w:r>
        <w:t xml:space="preserve">bylo </w:t>
      </w:r>
      <w:r w:rsidRPr="00092A07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092A07">
        <w:t>, není smluvní strana, která tuto smluvní povinnost nesplnila povinna k úhradě smluvní pokuty</w:t>
      </w:r>
      <w:r>
        <w:t>, která se k takové smluvní povinnosti vztahuje</w:t>
      </w:r>
      <w:r w:rsidRPr="00092A07">
        <w:t>.</w:t>
      </w:r>
      <w:r w:rsidR="00B21AB1">
        <w:t xml:space="preserve"> O vzniku takové překážky je smluvní strana povinna bez zbytečného odkladu písemně informovat druhou smluvní stranu. </w:t>
      </w:r>
    </w:p>
    <w:p w14:paraId="59DE71F2" w14:textId="77777777" w:rsidR="00B8511F" w:rsidRPr="008C0798" w:rsidRDefault="00B8511F">
      <w:pPr>
        <w:pStyle w:val="Heading-Number-ContractCzechRadio"/>
        <w:rPr>
          <w:color w:val="auto"/>
        </w:rPr>
      </w:pPr>
      <w:r w:rsidRPr="008C0798">
        <w:rPr>
          <w:color w:val="auto"/>
        </w:rPr>
        <w:t>Zánik smlouvy</w:t>
      </w:r>
    </w:p>
    <w:p w14:paraId="45C6371E" w14:textId="77777777" w:rsidR="00B8511F" w:rsidRPr="00D73EC2" w:rsidRDefault="00B8511F" w:rsidP="00B8511F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603D4A72" w14:textId="77777777" w:rsidR="00B8511F" w:rsidRDefault="00B8511F" w:rsidP="00B8511F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A5DDB5F" w14:textId="77777777" w:rsidR="00B8511F" w:rsidRPr="008C0798" w:rsidRDefault="00B8511F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DB58AD3" w14:textId="77777777" w:rsidR="001C316E" w:rsidRPr="00D73CD0" w:rsidRDefault="005F2764" w:rsidP="001C316E">
      <w:pPr>
        <w:pStyle w:val="ListNumber-ContractCzechRadio"/>
        <w:rPr>
          <w:b/>
        </w:rPr>
      </w:pPr>
      <w:r w:rsidRPr="00D73CD0">
        <w:t xml:space="preserve">Kupující je oprávněn od této smlouvy odstoupit: </w:t>
      </w:r>
    </w:p>
    <w:p w14:paraId="689BAD25" w14:textId="77777777" w:rsidR="001C316E" w:rsidRPr="00D73CD0" w:rsidRDefault="005F2764" w:rsidP="001C316E">
      <w:pPr>
        <w:pStyle w:val="ListLetter-ContractCzechRadio"/>
        <w:rPr>
          <w:b/>
        </w:rPr>
      </w:pPr>
      <w:r w:rsidRPr="00D73CD0">
        <w:t xml:space="preserve">v případě prodlení prodávajícího s odevzdáním zboží nebo jeho části o více </w:t>
      </w:r>
      <w:r w:rsidR="008D7C03" w:rsidRPr="00D73CD0">
        <w:t>než</w:t>
      </w:r>
      <w:r w:rsidRPr="00D73CD0">
        <w:t xml:space="preserve"> 30 dní</w:t>
      </w:r>
      <w:r w:rsidR="00FB6736" w:rsidRPr="00D73CD0">
        <w:t>;</w:t>
      </w:r>
      <w:r w:rsidRPr="00D73CD0">
        <w:t xml:space="preserve"> </w:t>
      </w:r>
    </w:p>
    <w:p w14:paraId="374E653E" w14:textId="77777777" w:rsidR="00043DF0" w:rsidRPr="00E004E1" w:rsidRDefault="005F2764" w:rsidP="00E004E1">
      <w:pPr>
        <w:pStyle w:val="ListLetter-ContractCzechRadio"/>
        <w:rPr>
          <w:b/>
        </w:rPr>
      </w:pPr>
      <w:r w:rsidRPr="00D73CD0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D7C03" w:rsidRPr="00D73CD0">
        <w:rPr>
          <w:rFonts w:eastAsia="Times New Roman" w:cs="Arial"/>
          <w:bCs/>
          <w:kern w:val="32"/>
          <w:szCs w:val="20"/>
        </w:rPr>
        <w:t>než</w:t>
      </w:r>
      <w:r w:rsidRPr="00D73CD0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D73CD0">
        <w:rPr>
          <w:rFonts w:eastAsia="Times New Roman" w:cs="Arial"/>
          <w:bCs/>
          <w:kern w:val="32"/>
          <w:szCs w:val="20"/>
        </w:rPr>
        <w:t>doby</w:t>
      </w:r>
      <w:r w:rsidRPr="00D73CD0">
        <w:rPr>
          <w:rFonts w:eastAsia="Times New Roman" w:cs="Arial"/>
          <w:bCs/>
          <w:kern w:val="32"/>
          <w:szCs w:val="20"/>
        </w:rPr>
        <w:t>) prodlení s od</w:t>
      </w:r>
      <w:r w:rsidR="00FB6736" w:rsidRPr="00D73CD0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D7C03" w:rsidRPr="00D73CD0">
        <w:rPr>
          <w:rFonts w:eastAsia="Times New Roman" w:cs="Arial"/>
          <w:bCs/>
          <w:kern w:val="32"/>
          <w:szCs w:val="20"/>
        </w:rPr>
        <w:t>než</w:t>
      </w:r>
      <w:r w:rsidR="00FB6736" w:rsidRPr="00D73CD0">
        <w:rPr>
          <w:rFonts w:eastAsia="Times New Roman" w:cs="Arial"/>
          <w:bCs/>
          <w:kern w:val="32"/>
          <w:szCs w:val="20"/>
        </w:rPr>
        <w:t xml:space="preserve"> 5 dní;</w:t>
      </w:r>
      <w:r w:rsidR="001C316E" w:rsidRPr="00D73CD0">
        <w:t xml:space="preserve"> </w:t>
      </w:r>
    </w:p>
    <w:p w14:paraId="558EDE94" w14:textId="77777777" w:rsidR="00A11BC0" w:rsidRPr="00D73CD0" w:rsidRDefault="005F2764" w:rsidP="00043DF0">
      <w:pPr>
        <w:pStyle w:val="ListLetter-ContractCzechRadio"/>
        <w:rPr>
          <w:b/>
        </w:rPr>
      </w:pPr>
      <w:r w:rsidRPr="00D73CD0">
        <w:t xml:space="preserve">je-li to stanoveno touto smlouvou. </w:t>
      </w:r>
    </w:p>
    <w:p w14:paraId="64FDB28C" w14:textId="4585A2EF" w:rsidR="00043DF0" w:rsidRPr="00D73CD0" w:rsidRDefault="005F2764" w:rsidP="008D7C03">
      <w:pPr>
        <w:pStyle w:val="ListNumber-ContractCzechRadio"/>
        <w:jc w:val="both"/>
      </w:pPr>
      <w:r w:rsidRPr="00D73CD0">
        <w:rPr>
          <w:rFonts w:eastAsia="Times New Roman" w:cs="Arial"/>
          <w:bCs/>
          <w:kern w:val="32"/>
          <w:szCs w:val="20"/>
        </w:rPr>
        <w:t>Odstoupení musí být učiněno písemně</w:t>
      </w:r>
      <w:r w:rsidR="00B8511F"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</w:t>
      </w:r>
      <w:r w:rsidR="008D7C03" w:rsidRPr="00D73CD0">
        <w:rPr>
          <w:rFonts w:eastAsia="Times New Roman" w:cs="Arial"/>
          <w:bCs/>
          <w:kern w:val="32"/>
          <w:szCs w:val="20"/>
        </w:rPr>
        <w:t>činky</w:t>
      </w:r>
      <w:r w:rsidR="00B8511F">
        <w:rPr>
          <w:rFonts w:eastAsia="Times New Roman" w:cs="Arial"/>
          <w:bCs/>
          <w:kern w:val="32"/>
          <w:szCs w:val="20"/>
        </w:rPr>
        <w:t xml:space="preserve"> odstoupení</w:t>
      </w:r>
      <w:r w:rsidRPr="00D73CD0">
        <w:rPr>
          <w:rFonts w:eastAsia="Times New Roman" w:cs="Arial"/>
          <w:bCs/>
          <w:kern w:val="32"/>
          <w:szCs w:val="20"/>
        </w:rPr>
        <w:t xml:space="preserve"> </w:t>
      </w:r>
      <w:r w:rsidR="00B21AB1">
        <w:rPr>
          <w:rFonts w:eastAsia="Times New Roman" w:cs="Arial"/>
          <w:bCs/>
          <w:kern w:val="32"/>
          <w:szCs w:val="20"/>
        </w:rPr>
        <w:t xml:space="preserve">nastávají </w:t>
      </w:r>
      <w:r w:rsidR="00B8511F">
        <w:rPr>
          <w:rFonts w:eastAsia="Times New Roman" w:cs="Arial"/>
          <w:bCs/>
          <w:kern w:val="32"/>
          <w:szCs w:val="20"/>
        </w:rPr>
        <w:t xml:space="preserve">okamžikem jeho </w:t>
      </w:r>
      <w:r w:rsidRPr="00D73CD0">
        <w:rPr>
          <w:rFonts w:eastAsia="Times New Roman" w:cs="Arial"/>
          <w:bCs/>
          <w:kern w:val="32"/>
          <w:szCs w:val="20"/>
        </w:rPr>
        <w:t xml:space="preserve">doručení </w:t>
      </w:r>
      <w:r w:rsidR="008D7C03" w:rsidRPr="00D73CD0">
        <w:rPr>
          <w:rFonts w:eastAsia="Times New Roman" w:cs="Arial"/>
          <w:bCs/>
          <w:kern w:val="32"/>
          <w:szCs w:val="20"/>
        </w:rPr>
        <w:t>druhé smluvní straně</w:t>
      </w:r>
      <w:r w:rsidRPr="00D73CD0">
        <w:rPr>
          <w:rFonts w:eastAsia="Times New Roman" w:cs="Arial"/>
          <w:bCs/>
          <w:kern w:val="32"/>
          <w:szCs w:val="20"/>
        </w:rPr>
        <w:t>.</w:t>
      </w:r>
    </w:p>
    <w:p w14:paraId="73B79C71" w14:textId="77777777" w:rsidR="00A11BC0" w:rsidRPr="00D73CD0" w:rsidRDefault="005F2764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lastRenderedPageBreak/>
        <w:t>Závěrečná ustanovení</w:t>
      </w:r>
    </w:p>
    <w:p w14:paraId="65F9975B" w14:textId="77777777" w:rsidR="00C42714" w:rsidRPr="00D73CD0" w:rsidRDefault="005F2764" w:rsidP="00C42714">
      <w:pPr>
        <w:pStyle w:val="ListNumber-ContractCzechRadio"/>
        <w:jc w:val="both"/>
      </w:pPr>
      <w:r w:rsidRPr="00D73CD0">
        <w:t>Tato smlouva nabývá platnosti dnem jejího podpisu oběma smluvními stranami a účinnosti dnem</w:t>
      </w:r>
      <w:r w:rsidR="00B8511F">
        <w:t xml:space="preserve"> jejího</w:t>
      </w:r>
      <w:r w:rsidRPr="00D73CD0">
        <w:t xml:space="preserve"> 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33306516" w14:textId="77777777" w:rsidR="00B8511F" w:rsidRPr="00D73CD0" w:rsidRDefault="00B8511F" w:rsidP="00B8511F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D73CD0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D73CD0">
        <w:rPr>
          <w:rFonts w:eastAsia="Times New Roman" w:cs="Arial"/>
          <w:bCs/>
          <w:kern w:val="32"/>
          <w:szCs w:val="20"/>
        </w:rPr>
        <w:t>.</w:t>
      </w:r>
    </w:p>
    <w:p w14:paraId="1AB12B38" w14:textId="3A968729" w:rsidR="00F36299" w:rsidRPr="00D73CD0" w:rsidRDefault="005F2764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 w:rsidR="00B8511F">
        <w:t>. V případě, že bude smlouva uzavřena na dálku za využití elektronických prostředků, zašle smluvní strana, jež smlouvu podepisuje jako poslední, jeden originál smlouvy spolu s jejími přílohami druhé smluvní straně.</w:t>
      </w:r>
      <w:r w:rsidR="00B8511F" w:rsidRPr="00D73CD0">
        <w:t xml:space="preserve"> </w:t>
      </w:r>
    </w:p>
    <w:p w14:paraId="19D3C6C8" w14:textId="77777777" w:rsidR="00043DF0" w:rsidRPr="00D73CD0" w:rsidRDefault="005F2764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6C7DAC69" w14:textId="77777777" w:rsidR="00A820DE" w:rsidRPr="00D73CD0" w:rsidRDefault="005F2764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B21AB1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2C4C3C78" w14:textId="77777777" w:rsidR="00BE6222" w:rsidRPr="00D73CD0" w:rsidRDefault="005F2764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03B8990B" w14:textId="77777777" w:rsidR="00E17BAD" w:rsidRDefault="005F2764" w:rsidP="00E17BAD">
      <w:pPr>
        <w:pStyle w:val="ListNumber-ContractCzechRadio"/>
        <w:jc w:val="both"/>
      </w:pPr>
      <w:r w:rsidRPr="00D73CD0">
        <w:t>Prodávající bere na vědomí, že kupující je jako zadavatel veřejné zakázky oprávněn v souladu s § 219 ZZVZ uveřejnit na profilu zadavatele tuto smlouvu včetně všech jejích změn a dodatků, výši skutečně uhrazené ceny za plnění veřejné zakázky a seznam poddodavatelů prodávajícího veřejné zakázky.</w:t>
      </w:r>
    </w:p>
    <w:p w14:paraId="35355EBA" w14:textId="018D3528" w:rsidR="008C0798" w:rsidRPr="00D73CD0" w:rsidRDefault="00E362E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801040E" w14:textId="31A5E73B" w:rsidR="00856B46" w:rsidRPr="00D73CD0" w:rsidRDefault="005F2764" w:rsidP="008C0798">
      <w:pPr>
        <w:pStyle w:val="ListNumber-ContractCzechRadio"/>
        <w:jc w:val="both"/>
      </w:pPr>
      <w:r w:rsidRPr="008C0798">
        <w:rPr>
          <w:rFonts w:cs="Arial"/>
          <w:szCs w:val="20"/>
        </w:rPr>
        <w:t xml:space="preserve">Tato smlouva včetně jejích příloh a případných změn bude uveřejněna </w:t>
      </w:r>
      <w:r w:rsidR="007417F7" w:rsidRPr="008C0798">
        <w:rPr>
          <w:rFonts w:cs="Arial"/>
          <w:szCs w:val="20"/>
        </w:rPr>
        <w:t xml:space="preserve">kupujícím </w:t>
      </w:r>
      <w:r w:rsidRPr="008C0798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8C0798">
        <w:rPr>
          <w:rFonts w:cs="Arial"/>
          <w:szCs w:val="20"/>
        </w:rPr>
        <w:t>kupujícímu</w:t>
      </w:r>
      <w:r w:rsidRPr="008C0798">
        <w:rPr>
          <w:rFonts w:cs="Arial"/>
          <w:szCs w:val="20"/>
        </w:rPr>
        <w:t xml:space="preserve"> potvrzení o uveřejnění této smlouvy bez zbytečného odkladu. Tento </w:t>
      </w:r>
      <w:r w:rsidR="008D7C03" w:rsidRPr="008C0798">
        <w:rPr>
          <w:rFonts w:cs="Arial"/>
          <w:szCs w:val="20"/>
        </w:rPr>
        <w:t>odstavec</w:t>
      </w:r>
      <w:r w:rsidRPr="008C0798">
        <w:rPr>
          <w:rFonts w:cs="Arial"/>
          <w:szCs w:val="20"/>
        </w:rPr>
        <w:t xml:space="preserve"> je samostatnou dohodou smluvních stran oddělitelnou od ostatních ustanovení smlouvy.</w:t>
      </w:r>
    </w:p>
    <w:p w14:paraId="5A0589FD" w14:textId="77777777" w:rsidR="00043DF0" w:rsidRPr="00D73CD0" w:rsidRDefault="005F2764" w:rsidP="00043DF0">
      <w:pPr>
        <w:pStyle w:val="ListNumber-ContractCzechRadio"/>
      </w:pPr>
      <w:r w:rsidRPr="00D73CD0">
        <w:t>Nedílnou součástí této smlouvy je její:</w:t>
      </w:r>
    </w:p>
    <w:p w14:paraId="218BA752" w14:textId="77777777" w:rsidR="00043DF0" w:rsidRPr="00D73CD0" w:rsidRDefault="005F2764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14:paraId="059ECAA9" w14:textId="77777777" w:rsidR="005E67B4" w:rsidRPr="00D73CD0" w:rsidRDefault="005F2764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14:paraId="37D16F04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789CBA13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64F41" w14:paraId="066481E3" w14:textId="77777777" w:rsidTr="008D7C03">
        <w:trPr>
          <w:jc w:val="center"/>
        </w:trPr>
        <w:tc>
          <w:tcPr>
            <w:tcW w:w="3974" w:type="dxa"/>
          </w:tcPr>
          <w:p w14:paraId="2F9B7200" w14:textId="77777777" w:rsidR="008D7C03" w:rsidRPr="00D73CD0" w:rsidRDefault="005F2764" w:rsidP="00E004E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E004E1">
              <w:t>Praze</w:t>
            </w:r>
            <w:r w:rsidRPr="00D73CD0">
              <w:t xml:space="preserve"> dne </w:t>
            </w:r>
            <w:r w:rsidR="00E004E1">
              <w:t>………………..</w:t>
            </w:r>
          </w:p>
        </w:tc>
        <w:tc>
          <w:tcPr>
            <w:tcW w:w="3964" w:type="dxa"/>
          </w:tcPr>
          <w:p w14:paraId="797130A7" w14:textId="77777777" w:rsidR="008D7C03" w:rsidRPr="00D73CD0" w:rsidRDefault="005F276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564F41" w14:paraId="17868AB5" w14:textId="77777777" w:rsidTr="008D7C03">
        <w:trPr>
          <w:jc w:val="center"/>
        </w:trPr>
        <w:tc>
          <w:tcPr>
            <w:tcW w:w="3974" w:type="dxa"/>
          </w:tcPr>
          <w:p w14:paraId="58D7A7D2" w14:textId="77777777" w:rsidR="008D7C03" w:rsidRPr="00D73CD0" w:rsidRDefault="005F276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644E12A1" w14:textId="77777777" w:rsidR="008D7C03" w:rsidRPr="00E004E1" w:rsidRDefault="005F276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E004E1">
              <w:rPr>
                <w:rFonts w:cs="Arial"/>
                <w:b/>
                <w:szCs w:val="20"/>
              </w:rPr>
              <w:t>Ing. Karel Zýka</w:t>
            </w:r>
          </w:p>
          <w:p w14:paraId="222DA78C" w14:textId="77777777" w:rsidR="008D7C03" w:rsidRPr="00D73CD0" w:rsidRDefault="005F2764" w:rsidP="00E004E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004E1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3964" w:type="dxa"/>
          </w:tcPr>
          <w:p w14:paraId="4C815F67" w14:textId="77777777" w:rsidR="008D7C03" w:rsidRPr="00D73CD0" w:rsidRDefault="005F276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prodávajícího</w:t>
            </w:r>
          </w:p>
          <w:p w14:paraId="1A35DF71" w14:textId="77777777" w:rsidR="008D7C03" w:rsidRPr="00D73CD0" w:rsidRDefault="005F276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FC9B08B" w14:textId="77777777" w:rsidR="008D7C03" w:rsidRPr="00D73CD0" w:rsidRDefault="005F2764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F83FCCD" w14:textId="77777777" w:rsidR="00F6014B" w:rsidRPr="00D73CD0" w:rsidRDefault="00F6014B" w:rsidP="00881C56"/>
    <w:p w14:paraId="4D562934" w14:textId="77777777" w:rsidR="008C0798" w:rsidRDefault="008C079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3C13C23C" w14:textId="64D7FEC8" w:rsidR="00605B3E" w:rsidRPr="00B21AB1" w:rsidRDefault="005F2764" w:rsidP="008C079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</w:pPr>
      <w:r w:rsidRPr="008C0798">
        <w:rPr>
          <w:b/>
        </w:rPr>
        <w:lastRenderedPageBreak/>
        <w:t xml:space="preserve">PŘÍLOHA č. 1 – </w:t>
      </w:r>
      <w:r w:rsidR="00E362E1">
        <w:rPr>
          <w:b/>
        </w:rPr>
        <w:t>SPECIFIKACE ZBOŽÍ A CENY</w:t>
      </w:r>
    </w:p>
    <w:p w14:paraId="5D0F3922" w14:textId="77777777" w:rsidR="00605B3E" w:rsidRDefault="00605B3E" w:rsidP="00605B3E">
      <w:pPr>
        <w:pStyle w:val="SubjectName-ContractCzechRadio"/>
        <w:rPr>
          <w:b w:val="0"/>
        </w:rPr>
      </w:pPr>
    </w:p>
    <w:p w14:paraId="2C0FB62E" w14:textId="77777777" w:rsidR="00605B3E" w:rsidRPr="00AC3E5B" w:rsidRDefault="005F2764" w:rsidP="00605B3E">
      <w:pPr>
        <w:rPr>
          <w:rFonts w:cs="Arial"/>
          <w:szCs w:val="20"/>
        </w:rPr>
      </w:pPr>
      <w:r w:rsidRPr="00AC3E5B">
        <w:rPr>
          <w:rFonts w:cs="Arial"/>
          <w:szCs w:val="20"/>
        </w:rPr>
        <w:t xml:space="preserve">Zadavatel provozuje IP telefonii na technologii CISCO a ZOOM Int. na serverech ve virtuálním prostředím VMware ESXi 7.0.2. Dvě hlasové brány Cisco 2911 zprostředkovávají napojení na veřejnou telefonní síť s pevnými a mobilními službami prostřednictvím 4xE1 rozhraní (2x O2fix, 1xO2mobil, 1xTmobile). </w:t>
      </w:r>
    </w:p>
    <w:p w14:paraId="71CCBA9B" w14:textId="7D38CABE" w:rsidR="00605B3E" w:rsidRPr="00AC3E5B" w:rsidRDefault="005F2764" w:rsidP="00605B3E">
      <w:pPr>
        <w:rPr>
          <w:rFonts w:cs="Arial"/>
          <w:szCs w:val="20"/>
        </w:rPr>
      </w:pPr>
      <w:r w:rsidRPr="00AC3E5B">
        <w:rPr>
          <w:rFonts w:cs="Arial"/>
          <w:szCs w:val="20"/>
        </w:rPr>
        <w:t>Předmětem této zakázky je (</w:t>
      </w:r>
      <w:r w:rsidR="00B21AB1">
        <w:rPr>
          <w:rFonts w:cs="Arial"/>
          <w:szCs w:val="20"/>
        </w:rPr>
        <w:t>prodávající</w:t>
      </w:r>
      <w:r w:rsidR="00B21AB1" w:rsidRPr="00AC3E5B">
        <w:rPr>
          <w:rFonts w:cs="Arial"/>
          <w:szCs w:val="20"/>
        </w:rPr>
        <w:t xml:space="preserve"> </w:t>
      </w:r>
      <w:r w:rsidRPr="00AC3E5B">
        <w:rPr>
          <w:rFonts w:cs="Arial"/>
          <w:szCs w:val="20"/>
        </w:rPr>
        <w:t>zajistí):</w:t>
      </w:r>
    </w:p>
    <w:p w14:paraId="561FB97A" w14:textId="77777777" w:rsidR="00605B3E" w:rsidRPr="00AC3E5B" w:rsidRDefault="005F2764" w:rsidP="00605B3E">
      <w:pPr>
        <w:pStyle w:val="Podnadpis-modr"/>
        <w:shd w:val="clear" w:color="auto" w:fill="DEEAF6" w:themeFill="accent1" w:themeFillTint="33"/>
        <w:rPr>
          <w:rFonts w:cs="Arial"/>
          <w:szCs w:val="20"/>
        </w:rPr>
      </w:pPr>
      <w:r w:rsidRPr="00AC3E5B">
        <w:rPr>
          <w:rFonts w:cs="Arial"/>
          <w:szCs w:val="20"/>
        </w:rPr>
        <w:t>Zakoupení a instalace 2ks hlasových bran z důvodu konce podpory stávajícího typu C2911:</w:t>
      </w:r>
    </w:p>
    <w:p w14:paraId="1A1B7030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 xml:space="preserve">Stávající hlasové brány VGW1.cro.cz a VGW2.cro.cz, model Cisco C2911, budou  v souladu s CISCO doporučením nahrazeny zakoupením dvojice nového nástupního typu Cisco C4331. </w:t>
      </w:r>
    </w:p>
    <w:p w14:paraId="29ABA660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 xml:space="preserve">Po instalaci do racku požaduje zadavatel upgrade iOS nových hlasových bran na poslední stabilní verzi, přenos konfigurace, kontrolu a optimalizaci nastavení. Veškerý odchozí provoz bude poté ze stávající VGW1 přesunut na VGW2 a proběhne náhrada VGW1 za nový typ brány. Po úspěšném provedení testů bude obdobným způsobem provedeno nahrazení i druhé hlasové brány VGW2. </w:t>
      </w:r>
    </w:p>
    <w:p w14:paraId="391A688C" w14:textId="77777777" w:rsidR="00605B3E" w:rsidRPr="00AC3E5B" w:rsidRDefault="005F2764" w:rsidP="00605B3E">
      <w:pPr>
        <w:pStyle w:val="Podnadpis-modr"/>
        <w:numPr>
          <w:ilvl w:val="0"/>
          <w:numId w:val="0"/>
        </w:numPr>
        <w:ind w:left="360"/>
        <w:rPr>
          <w:rFonts w:cs="Arial"/>
          <w:b w:val="0"/>
          <w:szCs w:val="20"/>
        </w:rPr>
      </w:pPr>
      <w:r w:rsidRPr="00AC3E5B">
        <w:rPr>
          <w:rFonts w:cs="Arial"/>
          <w:b w:val="0"/>
          <w:szCs w:val="20"/>
        </w:rPr>
        <w:t>Požadovaná konfigurace hlasových bran C4331:</w:t>
      </w:r>
    </w:p>
    <w:tbl>
      <w:tblPr>
        <w:tblW w:w="86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1886"/>
        <w:gridCol w:w="5904"/>
        <w:gridCol w:w="12"/>
        <w:gridCol w:w="861"/>
        <w:gridCol w:w="12"/>
      </w:tblGrid>
      <w:tr w:rsidR="00564F41" w14:paraId="38F70CB7" w14:textId="77777777" w:rsidTr="00200049">
        <w:trPr>
          <w:gridBefore w:val="1"/>
          <w:wBefore w:w="12" w:type="dxa"/>
          <w:trHeight w:val="245"/>
        </w:trPr>
        <w:tc>
          <w:tcPr>
            <w:tcW w:w="7800" w:type="dxa"/>
            <w:gridSpan w:val="3"/>
            <w:shd w:val="clear" w:color="auto" w:fill="auto"/>
            <w:vAlign w:val="center"/>
            <w:hideMark/>
          </w:tcPr>
          <w:p w14:paraId="45299B20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Cisco ISR 4331 UC Bundle, PVDM4-32, UC License</w:t>
            </w: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6830F36A" w14:textId="77777777" w:rsidR="00605B3E" w:rsidRPr="00AC3E5B" w:rsidRDefault="00605B3E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564F41" w14:paraId="3085C23A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EDEDED" w:themeFill="accent3" w:themeFillTint="33"/>
            <w:vAlign w:val="center"/>
            <w:hideMark/>
          </w:tcPr>
          <w:p w14:paraId="78AF8ED6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ISR4331-V/K9</w:t>
            </w:r>
          </w:p>
        </w:tc>
        <w:tc>
          <w:tcPr>
            <w:tcW w:w="5957" w:type="dxa"/>
            <w:shd w:val="clear" w:color="auto" w:fill="EDEDED" w:themeFill="accent3" w:themeFillTint="33"/>
            <w:vAlign w:val="center"/>
            <w:hideMark/>
          </w:tcPr>
          <w:p w14:paraId="02079717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4331 UC Bundle, PVDM4-32, UC License</w:t>
            </w:r>
          </w:p>
        </w:tc>
        <w:tc>
          <w:tcPr>
            <w:tcW w:w="880" w:type="dxa"/>
            <w:gridSpan w:val="2"/>
            <w:shd w:val="clear" w:color="auto" w:fill="EDEDED" w:themeFill="accent3" w:themeFillTint="33"/>
            <w:vAlign w:val="center"/>
            <w:hideMark/>
          </w:tcPr>
          <w:p w14:paraId="783BFDD5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0B213065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16790091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SISR4300UK9-166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3B1777D1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4300 Series IOS XE Universal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0E5C6F29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4E544DFB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134A4486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SL-4330-IPB-K9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23337424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IP Base License for Cisco ISR 4330 Series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07FB4A0B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5FD657A0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134062B0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SL-4330-UC-K9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2816BEE0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Unified Communication License for Cisco ISR 4330 Series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0BA54F0D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18E4FB97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EDEDED" w:themeFill="accent3" w:themeFillTint="33"/>
            <w:vAlign w:val="center"/>
            <w:hideMark/>
          </w:tcPr>
          <w:p w14:paraId="3CEC6DEA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NIM-2MFT-T1/E1</w:t>
            </w:r>
          </w:p>
        </w:tc>
        <w:tc>
          <w:tcPr>
            <w:tcW w:w="5957" w:type="dxa"/>
            <w:shd w:val="clear" w:color="auto" w:fill="EDEDED" w:themeFill="accent3" w:themeFillTint="33"/>
            <w:vAlign w:val="center"/>
            <w:hideMark/>
          </w:tcPr>
          <w:p w14:paraId="55418D36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 port Multiflex Trunk Voice/Clear-channel Data T1/E1 Module</w:t>
            </w:r>
          </w:p>
        </w:tc>
        <w:tc>
          <w:tcPr>
            <w:tcW w:w="880" w:type="dxa"/>
            <w:gridSpan w:val="2"/>
            <w:shd w:val="clear" w:color="auto" w:fill="EDEDED" w:themeFill="accent3" w:themeFillTint="33"/>
            <w:vAlign w:val="center"/>
            <w:hideMark/>
          </w:tcPr>
          <w:p w14:paraId="4ED33D56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3F380BBF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EDEDED" w:themeFill="accent3" w:themeFillTint="33"/>
            <w:vAlign w:val="center"/>
            <w:hideMark/>
          </w:tcPr>
          <w:p w14:paraId="23948030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PVDM4-64</w:t>
            </w:r>
          </w:p>
        </w:tc>
        <w:tc>
          <w:tcPr>
            <w:tcW w:w="5957" w:type="dxa"/>
            <w:shd w:val="clear" w:color="auto" w:fill="EDEDED" w:themeFill="accent3" w:themeFillTint="33"/>
            <w:vAlign w:val="center"/>
            <w:hideMark/>
          </w:tcPr>
          <w:p w14:paraId="13066AFC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64-channel DSP module</w:t>
            </w:r>
          </w:p>
        </w:tc>
        <w:tc>
          <w:tcPr>
            <w:tcW w:w="880" w:type="dxa"/>
            <w:gridSpan w:val="2"/>
            <w:shd w:val="clear" w:color="auto" w:fill="EDEDED" w:themeFill="accent3" w:themeFillTint="33"/>
            <w:vAlign w:val="center"/>
            <w:hideMark/>
          </w:tcPr>
          <w:p w14:paraId="78430C33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172C7004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42764BE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PWR-4330-AC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5650BC5E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 Power Supply for Cisco ISR 4330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725738D6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6A5B503B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1ED2101D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CAB-ACE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7BC0E706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AC Power Cord (Europe), C13, CEE 7, 1.5M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326BBDC0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5985229D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4C21CD56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PVDM4-32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47CF3748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32-channel DSP module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7388933B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1481B2F9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38DB554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MEM-FLSH-4G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4E723E9E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 Flash Memory for Cisco ISR 4300 (Soldered on motherboard)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0FD90AD8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5EB3A578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4EBBBE44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NIM-BLANK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137F1F4E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Blank faceplate for NIM slot on Cisco ISR 4400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0EE0BCB2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63DB743F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2CDFDE43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MEM-43-4G</w:t>
            </w:r>
          </w:p>
        </w:tc>
        <w:tc>
          <w:tcPr>
            <w:tcW w:w="5957" w:type="dxa"/>
            <w:shd w:val="clear" w:color="auto" w:fill="auto"/>
            <w:vAlign w:val="center"/>
            <w:hideMark/>
          </w:tcPr>
          <w:p w14:paraId="235E78DF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4G DRAM (1 x 4G) for Cisco ISR 4300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  <w:hideMark/>
          </w:tcPr>
          <w:p w14:paraId="7A4FD641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591EE334" w14:textId="77777777" w:rsidTr="00200049">
        <w:trPr>
          <w:gridAfter w:val="1"/>
          <w:wAfter w:w="10" w:type="dxa"/>
          <w:trHeight w:val="2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5077FCE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SM-S-BLANK</w:t>
            </w:r>
          </w:p>
        </w:tc>
        <w:tc>
          <w:tcPr>
            <w:tcW w:w="595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BF09C2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Removable faceplate for SM slot on Cisco 2900,3900,4400 ISR</w:t>
            </w: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E61E23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  <w:tr w:rsidR="00564F41" w14:paraId="507A30F2" w14:textId="77777777" w:rsidTr="002000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1224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0FF2E77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Hardware Part #: ISR4331-V/K9</w:t>
            </w:r>
            <w:r w:rsidRPr="00AC3E5B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DDSP-UPTS-PartsOnlyBusHrsxNBD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8A64647" w14:textId="77777777" w:rsidR="00605B3E" w:rsidRPr="00AC3E5B" w:rsidRDefault="005F2764" w:rsidP="00200049">
            <w:pPr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Remote Support and parts BusHrsxNBD</w:t>
            </w: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</w:r>
            <w:r w:rsidRPr="00AC3E5B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Service Period: 1 year(s).</w:t>
            </w:r>
            <w:r w:rsidRPr="00AC3E5B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Service Annual Rate: 4.730,00.</w:t>
            </w:r>
            <w:r w:rsidRPr="00AC3E5B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br/>
              <w:t>Contract covers 2 device(s)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DE2CA5E" w14:textId="77777777" w:rsidR="00605B3E" w:rsidRPr="00AC3E5B" w:rsidRDefault="005F2764" w:rsidP="0020004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AC3E5B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2 </w:t>
            </w:r>
          </w:p>
        </w:tc>
      </w:tr>
    </w:tbl>
    <w:p w14:paraId="7AB4819D" w14:textId="77777777" w:rsidR="00605B3E" w:rsidRPr="00AC3E5B" w:rsidRDefault="00605B3E" w:rsidP="00605B3E">
      <w:pPr>
        <w:rPr>
          <w:rFonts w:cs="Arial"/>
          <w:sz w:val="16"/>
          <w:szCs w:val="16"/>
        </w:rPr>
      </w:pPr>
    </w:p>
    <w:p w14:paraId="79DD4BBC" w14:textId="77777777" w:rsidR="00605B3E" w:rsidRPr="00AC3E5B" w:rsidRDefault="005F2764" w:rsidP="00605B3E">
      <w:pPr>
        <w:pStyle w:val="Podnadpis-modr"/>
        <w:shd w:val="clear" w:color="auto" w:fill="DEEAF6" w:themeFill="accent1" w:themeFillTint="33"/>
        <w:rPr>
          <w:rFonts w:cs="Arial"/>
          <w:szCs w:val="20"/>
        </w:rPr>
      </w:pPr>
      <w:r w:rsidRPr="00AC3E5B">
        <w:rPr>
          <w:rFonts w:cs="Arial"/>
          <w:szCs w:val="20"/>
        </w:rPr>
        <w:t>Upgrade 7ks Cisco virtuálních serverů na nejvyšší stabilní verzi aplikace formou zajišťující minimální výpadek služeb pro uživatele:</w:t>
      </w:r>
    </w:p>
    <w:p w14:paraId="39AF541F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 xml:space="preserve">zamrazení provozních konfigurací s výjimkou neodkladných změn, </w:t>
      </w:r>
    </w:p>
    <w:p w14:paraId="163B0799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 xml:space="preserve">kopie stávajících VM serverů mimo produkční prostředí do labu vytvořeného na infrastruktuře zadavatele (zajistí zadavatel), </w:t>
      </w:r>
    </w:p>
    <w:p w14:paraId="719F465B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 xml:space="preserve">provedení upgrade všech dotčených serverů, </w:t>
      </w:r>
    </w:p>
    <w:p w14:paraId="065AFFBB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>nahrání licencí do Cisco Smart Account ČRo ve spolupráci s Cisco TAC,</w:t>
      </w:r>
    </w:p>
    <w:p w14:paraId="6C116759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>napojení všech serverů na Cisco Smart Account,</w:t>
      </w:r>
    </w:p>
    <w:p w14:paraId="72B6A6EF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>migrace upgradeovaných virtuálních serverů z labu zpět do produkčního prostředí (zajistí zadavatel),</w:t>
      </w:r>
    </w:p>
    <w:p w14:paraId="642F045A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>start nových serverů a otestování funkčnosti včetně zachování funkčních vazeb na okolní systémy,</w:t>
      </w:r>
    </w:p>
    <w:p w14:paraId="7AC6CF54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lastRenderedPageBreak/>
        <w:t>povolení konfigurací a instalace „neodkladných změn“ provedených během upgrade,</w:t>
      </w:r>
    </w:p>
    <w:p w14:paraId="380CB32A" w14:textId="77777777" w:rsidR="00605B3E" w:rsidRPr="00AC3E5B" w:rsidRDefault="005F2764" w:rsidP="00605B3E">
      <w:pPr>
        <w:pStyle w:val="Odstavecseseznamem"/>
        <w:numPr>
          <w:ilvl w:val="1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AC3E5B">
        <w:rPr>
          <w:rFonts w:cs="Arial"/>
          <w:szCs w:val="20"/>
        </w:rPr>
        <w:t>poinstalační zvýšený dohled nad upgradovaným systémem a poskytnutí supportu v případě problémů v minimální délce trvání 2dny.</w:t>
      </w:r>
    </w:p>
    <w:p w14:paraId="5A423097" w14:textId="77777777" w:rsidR="00605B3E" w:rsidRPr="0001282B" w:rsidRDefault="00605B3E" w:rsidP="00605B3E">
      <w:pPr>
        <w:rPr>
          <w:rFonts w:cs="Arial"/>
          <w:szCs w:val="20"/>
        </w:rPr>
      </w:pPr>
    </w:p>
    <w:p w14:paraId="384F04FF" w14:textId="77777777" w:rsidR="00605B3E" w:rsidRPr="0001282B" w:rsidRDefault="005F2764" w:rsidP="00605B3E">
      <w:pPr>
        <w:rPr>
          <w:rFonts w:cs="Arial"/>
          <w:szCs w:val="20"/>
          <w:u w:val="single"/>
        </w:rPr>
      </w:pPr>
      <w:r w:rsidRPr="0001282B">
        <w:rPr>
          <w:rFonts w:cs="Arial"/>
          <w:szCs w:val="20"/>
          <w:u w:val="single"/>
        </w:rPr>
        <w:t>Seznam 7ks Cisco VM serverů – DNS jméno, OS, aplikace, verze: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6"/>
        <w:gridCol w:w="1122"/>
        <w:gridCol w:w="3997"/>
        <w:gridCol w:w="2215"/>
      </w:tblGrid>
      <w:tr w:rsidR="00564F41" w14:paraId="6DF7AFF4" w14:textId="77777777" w:rsidTr="00200049">
        <w:tc>
          <w:tcPr>
            <w:tcW w:w="1573" w:type="dxa"/>
            <w:vAlign w:val="center"/>
          </w:tcPr>
          <w:p w14:paraId="4A7F72F1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CUCM1.cro.cz</w:t>
            </w:r>
          </w:p>
        </w:tc>
        <w:tc>
          <w:tcPr>
            <w:tcW w:w="1134" w:type="dxa"/>
            <w:vAlign w:val="center"/>
          </w:tcPr>
          <w:p w14:paraId="16696C42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656AD83F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Unified Communication Manager</w:t>
            </w:r>
          </w:p>
        </w:tc>
        <w:tc>
          <w:tcPr>
            <w:tcW w:w="2303" w:type="dxa"/>
            <w:vAlign w:val="center"/>
          </w:tcPr>
          <w:p w14:paraId="4EF6D289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11.5.1.14900-11</w:t>
            </w:r>
          </w:p>
        </w:tc>
      </w:tr>
      <w:tr w:rsidR="00564F41" w14:paraId="34DF8D13" w14:textId="77777777" w:rsidTr="00200049">
        <w:tc>
          <w:tcPr>
            <w:tcW w:w="1573" w:type="dxa"/>
            <w:vAlign w:val="center"/>
          </w:tcPr>
          <w:p w14:paraId="522609D8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CUCM2.cro.cz</w:t>
            </w:r>
          </w:p>
        </w:tc>
        <w:tc>
          <w:tcPr>
            <w:tcW w:w="1134" w:type="dxa"/>
            <w:vAlign w:val="center"/>
          </w:tcPr>
          <w:p w14:paraId="18547405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7AF3A167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Unified Communication Manager</w:t>
            </w:r>
          </w:p>
        </w:tc>
        <w:tc>
          <w:tcPr>
            <w:tcW w:w="2303" w:type="dxa"/>
            <w:vAlign w:val="center"/>
          </w:tcPr>
          <w:p w14:paraId="6F83F875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11.5.1.14900-11</w:t>
            </w:r>
          </w:p>
        </w:tc>
      </w:tr>
      <w:tr w:rsidR="00564F41" w14:paraId="28670674" w14:textId="77777777" w:rsidTr="00200049">
        <w:tc>
          <w:tcPr>
            <w:tcW w:w="1573" w:type="dxa"/>
            <w:vAlign w:val="center"/>
          </w:tcPr>
          <w:p w14:paraId="7F33F361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UCCX1.cro.cz</w:t>
            </w:r>
          </w:p>
        </w:tc>
        <w:tc>
          <w:tcPr>
            <w:tcW w:w="1134" w:type="dxa"/>
            <w:vAlign w:val="center"/>
          </w:tcPr>
          <w:p w14:paraId="070CDC82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13741BE7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Unified Contact Center Express</w:t>
            </w:r>
          </w:p>
        </w:tc>
        <w:tc>
          <w:tcPr>
            <w:tcW w:w="2303" w:type="dxa"/>
            <w:vAlign w:val="center"/>
          </w:tcPr>
          <w:p w14:paraId="685F3AFE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11.6.2.10000-38</w:t>
            </w:r>
          </w:p>
        </w:tc>
      </w:tr>
      <w:tr w:rsidR="00564F41" w14:paraId="25AEB8F1" w14:textId="77777777" w:rsidTr="00200049">
        <w:tc>
          <w:tcPr>
            <w:tcW w:w="1573" w:type="dxa"/>
            <w:vAlign w:val="center"/>
          </w:tcPr>
          <w:p w14:paraId="136F645D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UCCX2.cro.cz</w:t>
            </w:r>
          </w:p>
        </w:tc>
        <w:tc>
          <w:tcPr>
            <w:tcW w:w="1134" w:type="dxa"/>
            <w:vAlign w:val="center"/>
          </w:tcPr>
          <w:p w14:paraId="3369FD8E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04310C27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Unified Contact Center Express</w:t>
            </w:r>
          </w:p>
        </w:tc>
        <w:tc>
          <w:tcPr>
            <w:tcW w:w="2303" w:type="dxa"/>
            <w:vAlign w:val="center"/>
          </w:tcPr>
          <w:p w14:paraId="68ABE64B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11.6.2.10000-38</w:t>
            </w:r>
          </w:p>
        </w:tc>
      </w:tr>
      <w:tr w:rsidR="00564F41" w14:paraId="3E163494" w14:textId="77777777" w:rsidTr="00200049">
        <w:tc>
          <w:tcPr>
            <w:tcW w:w="1573" w:type="dxa"/>
            <w:vAlign w:val="center"/>
          </w:tcPr>
          <w:p w14:paraId="3AF9CC65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IMP1.cro.cz</w:t>
            </w:r>
          </w:p>
        </w:tc>
        <w:tc>
          <w:tcPr>
            <w:tcW w:w="1134" w:type="dxa"/>
            <w:vAlign w:val="center"/>
          </w:tcPr>
          <w:p w14:paraId="1C23062D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06B0AAC4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Unified Communication Manager Instant Messaging and Presence</w:t>
            </w:r>
          </w:p>
        </w:tc>
        <w:tc>
          <w:tcPr>
            <w:tcW w:w="2303" w:type="dxa"/>
            <w:vAlign w:val="center"/>
          </w:tcPr>
          <w:p w14:paraId="4293E071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11.5.1.14900-32</w:t>
            </w:r>
          </w:p>
        </w:tc>
      </w:tr>
      <w:tr w:rsidR="00564F41" w14:paraId="59766F60" w14:textId="77777777" w:rsidTr="00200049">
        <w:tc>
          <w:tcPr>
            <w:tcW w:w="1573" w:type="dxa"/>
            <w:vAlign w:val="center"/>
          </w:tcPr>
          <w:p w14:paraId="74EBF052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IMP2.cro.cz</w:t>
            </w:r>
          </w:p>
        </w:tc>
        <w:tc>
          <w:tcPr>
            <w:tcW w:w="1134" w:type="dxa"/>
            <w:vAlign w:val="center"/>
          </w:tcPr>
          <w:p w14:paraId="1A6F82D6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42FB07C3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Unified Communication Manager Instant Messaging and Presence</w:t>
            </w:r>
          </w:p>
        </w:tc>
        <w:tc>
          <w:tcPr>
            <w:tcW w:w="2303" w:type="dxa"/>
            <w:vAlign w:val="center"/>
          </w:tcPr>
          <w:p w14:paraId="33658A46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11.5.1.14900-32</w:t>
            </w:r>
          </w:p>
        </w:tc>
      </w:tr>
      <w:tr w:rsidR="00564F41" w14:paraId="4E447D3C" w14:textId="77777777" w:rsidTr="00200049">
        <w:tc>
          <w:tcPr>
            <w:tcW w:w="1573" w:type="dxa"/>
            <w:vAlign w:val="center"/>
          </w:tcPr>
          <w:p w14:paraId="2F9BAED0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CUCN1.cro.cz</w:t>
            </w:r>
          </w:p>
        </w:tc>
        <w:tc>
          <w:tcPr>
            <w:tcW w:w="1134" w:type="dxa"/>
            <w:vAlign w:val="center"/>
          </w:tcPr>
          <w:p w14:paraId="028E1B7C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Appliance</w:t>
            </w:r>
          </w:p>
        </w:tc>
        <w:tc>
          <w:tcPr>
            <w:tcW w:w="4249" w:type="dxa"/>
            <w:vAlign w:val="center"/>
          </w:tcPr>
          <w:p w14:paraId="20C1272F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Cisco Unity Connection</w:t>
            </w:r>
          </w:p>
        </w:tc>
        <w:tc>
          <w:tcPr>
            <w:tcW w:w="2303" w:type="dxa"/>
            <w:vAlign w:val="center"/>
          </w:tcPr>
          <w:p w14:paraId="2D090654" w14:textId="77777777" w:rsidR="00605B3E" w:rsidRPr="0001282B" w:rsidRDefault="005F2764" w:rsidP="00200049">
            <w:pPr>
              <w:rPr>
                <w:rFonts w:cs="Arial"/>
                <w:sz w:val="18"/>
                <w:szCs w:val="18"/>
              </w:rPr>
            </w:pPr>
            <w:r w:rsidRPr="0001282B">
              <w:rPr>
                <w:rFonts w:cs="Arial"/>
                <w:sz w:val="18"/>
                <w:szCs w:val="18"/>
              </w:rPr>
              <w:t>11.5.1.13901-3</w:t>
            </w:r>
          </w:p>
        </w:tc>
      </w:tr>
    </w:tbl>
    <w:p w14:paraId="348553E5" w14:textId="77777777" w:rsidR="00605B3E" w:rsidRPr="0001282B" w:rsidRDefault="00605B3E" w:rsidP="00605B3E">
      <w:pPr>
        <w:rPr>
          <w:rFonts w:cs="Arial"/>
          <w:szCs w:val="20"/>
        </w:rPr>
      </w:pPr>
    </w:p>
    <w:p w14:paraId="79F03DA6" w14:textId="77777777" w:rsidR="00605B3E" w:rsidRPr="0001282B" w:rsidRDefault="005F2764" w:rsidP="00605B3E">
      <w:pPr>
        <w:rPr>
          <w:rFonts w:cs="Arial"/>
          <w:szCs w:val="20"/>
          <w:u w:val="single"/>
        </w:rPr>
      </w:pPr>
      <w:r w:rsidRPr="0001282B">
        <w:rPr>
          <w:rFonts w:cs="Arial"/>
          <w:szCs w:val="20"/>
          <w:u w:val="single"/>
        </w:rPr>
        <w:t>Seznam vazeb upgradeovaných Cisco serverů na okolní systémy:</w:t>
      </w:r>
    </w:p>
    <w:p w14:paraId="1079F1C2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Vazba na CUCM1/2: </w:t>
      </w:r>
    </w:p>
    <w:p w14:paraId="313C5B0C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EW-E.rozhlas.cz, EW-C.cro.cz - Cisco ExpressWay E/C</w:t>
      </w:r>
    </w:p>
    <w:p w14:paraId="737D9E58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konektivita IP telefonů a Cisco Jabberu z vnějšího prostředí (internetu)</w:t>
      </w:r>
    </w:p>
    <w:p w14:paraId="35307EA5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CUAC1.cro.cz - Cisco Unified Attendant Console</w:t>
      </w:r>
    </w:p>
    <w:p w14:paraId="20775057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systém přepojovatelského pracoviště.</w:t>
      </w:r>
    </w:p>
    <w:p w14:paraId="1C51EFA0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CWMS.cro.cz – Cisco WebEx Meetings Server</w:t>
      </w:r>
    </w:p>
    <w:p w14:paraId="0E6294AF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záložní On-Premise WebEx řešení. </w:t>
      </w:r>
    </w:p>
    <w:p w14:paraId="76EEC2F4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CMS1.cro.cz, CMS2.cro.cz – Cisco Meeting Server</w:t>
      </w:r>
    </w:p>
    <w:p w14:paraId="40BA127C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videokonferenční systém. </w:t>
      </w:r>
    </w:p>
    <w:p w14:paraId="3D640506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IPT-DB.cro.cz - Windows Server</w:t>
      </w:r>
    </w:p>
    <w:p w14:paraId="41219930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zajištění identifikace volajícího na LCD panelech IP telefonů pomocí služby External Call Control.</w:t>
      </w:r>
    </w:p>
    <w:p w14:paraId="40FE9064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PHONEBOX1.cro.cz, PHONEBOX2.cro.cz – zařízení PhoneBox od firmy Broadcast Bionics</w:t>
      </w:r>
    </w:p>
    <w:p w14:paraId="00F630E3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systém pro personalizovaný náběr telefonátů do vysílání.</w:t>
      </w:r>
    </w:p>
    <w:p w14:paraId="7FBE1ECC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SAS.cro.cz - SAS-PBX od firmy OPSOFT</w:t>
      </w:r>
    </w:p>
    <w:p w14:paraId="3BB06A01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administrační nadstavba obsahující tarifikační modul</w:t>
      </w:r>
    </w:p>
    <w:p w14:paraId="79DF6AF9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Vazba na IMP1/2: </w:t>
      </w:r>
    </w:p>
    <w:p w14:paraId="0B17BEA8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JABBERFS.cro.cz, JABBERSQL.cro.cz - Cisco Jabber FS/SQL</w:t>
      </w:r>
    </w:p>
    <w:p w14:paraId="28F9F199" w14:textId="77777777" w:rsidR="00605B3E" w:rsidRPr="0001282B" w:rsidRDefault="005F2764" w:rsidP="00605B3E">
      <w:pPr>
        <w:pStyle w:val="Odstavecseseznamem"/>
        <w:numPr>
          <w:ilvl w:val="1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zajištění přenosu souborů a obrázků prostřednicvím Cisco Jabber.</w:t>
      </w:r>
    </w:p>
    <w:p w14:paraId="17B647C3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Vazba na CUCM1/2 a hlasové brány: </w:t>
      </w:r>
    </w:p>
    <w:p w14:paraId="46EBBAC3" w14:textId="77777777" w:rsidR="00605B3E" w:rsidRPr="0001282B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CallREC1.cro.cz, CallREC2.cro.cz, CallREC3.cro.cz, CallREC4.cro.cz – CallRec od Zoom Int. </w:t>
      </w:r>
    </w:p>
    <w:p w14:paraId="5C68AA26" w14:textId="77777777" w:rsidR="00605B3E" w:rsidRDefault="005F2764" w:rsidP="00605B3E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</w:pPr>
      <w:r w:rsidRPr="0001282B">
        <w:rPr>
          <w:rFonts w:cs="Arial"/>
          <w:szCs w:val="20"/>
        </w:rPr>
        <w:tab/>
        <w:t>systém pro nahrávání telefonních hovorů.</w:t>
      </w:r>
      <w:r>
        <w:t xml:space="preserve"> </w:t>
      </w:r>
    </w:p>
    <w:p w14:paraId="36544F71" w14:textId="77777777" w:rsidR="00605B3E" w:rsidRDefault="005F2764" w:rsidP="00605B3E">
      <w:r>
        <w:br w:type="page"/>
      </w:r>
    </w:p>
    <w:p w14:paraId="5B788182" w14:textId="77777777" w:rsidR="00605B3E" w:rsidRPr="0001282B" w:rsidRDefault="005F2764" w:rsidP="00605B3E">
      <w:pPr>
        <w:pStyle w:val="Podnadpis-modr"/>
        <w:shd w:val="clear" w:color="auto" w:fill="DEEAF6" w:themeFill="accent1" w:themeFillTint="33"/>
        <w:rPr>
          <w:rFonts w:cs="Arial"/>
          <w:szCs w:val="20"/>
        </w:rPr>
      </w:pPr>
      <w:r w:rsidRPr="0001282B">
        <w:rPr>
          <w:rFonts w:cs="Arial"/>
          <w:szCs w:val="20"/>
        </w:rPr>
        <w:lastRenderedPageBreak/>
        <w:t>Upgrade 4ks  systémů ZOOM Int. CallREC pro nahrávání telefonních hovorů:</w:t>
      </w:r>
    </w:p>
    <w:p w14:paraId="390D41CD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>Aktuálně je na všech čtyřech serverech instalován již nepodporovaný systém ZQM 6.1.2, který bude nahrazen systémem EQM 7.0.2, případně novějším. Na základě požadavku zadavatele je třeba zajistit co nejmenší downtime a minimalizovat výpadky v nahrávání, používaného do vysílání. S ohledem na technická omezení upgrade na stávajících serverech bude nutné provést instalaci na nové VM servery, jejichž vytvoření zajistí zadavatel.</w:t>
      </w:r>
      <w:bookmarkStart w:id="2" w:name="_Toc68803340"/>
    </w:p>
    <w:p w14:paraId="4CA22CB0" w14:textId="77777777" w:rsidR="00605B3E" w:rsidRPr="0001282B" w:rsidRDefault="005F2764" w:rsidP="00605B3E">
      <w:pPr>
        <w:rPr>
          <w:rFonts w:cs="Arial"/>
          <w:szCs w:val="20"/>
          <w:u w:val="single"/>
        </w:rPr>
      </w:pPr>
      <w:r w:rsidRPr="0001282B">
        <w:rPr>
          <w:rFonts w:cs="Arial"/>
          <w:bCs/>
          <w:szCs w:val="20"/>
          <w:u w:val="single"/>
        </w:rPr>
        <w:t>Popis současného řešení a funkcionality</w:t>
      </w:r>
      <w:bookmarkEnd w:id="2"/>
      <w:r w:rsidRPr="0001282B">
        <w:rPr>
          <w:rFonts w:cs="Arial"/>
          <w:bCs/>
          <w:szCs w:val="20"/>
          <w:u w:val="single"/>
        </w:rPr>
        <w:t>:</w:t>
      </w:r>
    </w:p>
    <w:p w14:paraId="04994644" w14:textId="77777777" w:rsidR="00605B3E" w:rsidRPr="0001282B" w:rsidRDefault="005F2764" w:rsidP="00605B3E">
      <w:pPr>
        <w:spacing w:before="40" w:after="120" w:line="30" w:lineRule="atLeast"/>
        <w:rPr>
          <w:rFonts w:cs="Arial"/>
          <w:szCs w:val="20"/>
        </w:rPr>
      </w:pPr>
      <w:r w:rsidRPr="0001282B">
        <w:rPr>
          <w:rFonts w:cs="Arial"/>
          <w:szCs w:val="20"/>
        </w:rPr>
        <w:t>Server CallREC1</w:t>
      </w:r>
    </w:p>
    <w:p w14:paraId="07294884" w14:textId="77777777" w:rsidR="00605B3E" w:rsidRPr="0001282B" w:rsidRDefault="005F2764" w:rsidP="00605B3E">
      <w:pPr>
        <w:spacing w:before="60" w:after="60"/>
        <w:ind w:left="720"/>
        <w:rPr>
          <w:rFonts w:cs="Arial"/>
          <w:szCs w:val="20"/>
        </w:rPr>
      </w:pPr>
      <w:r w:rsidRPr="0001282B">
        <w:rPr>
          <w:rFonts w:cs="Arial"/>
          <w:szCs w:val="20"/>
          <w:lang w:eastAsia="cs-CZ"/>
        </w:rPr>
        <w:t>Nahrávání je prováděno metodou SPANless. Nahrává pouze vybrané hovory, které uživatel potvrdí na telefonu (prerecording). Z tohoto serveru si server SOX.cro.cz pomocí custom skriptu přebírá nové nahrávky, které se objeví ve složce /opt/callrec/data/calls. Skript pak upraví danou nahrávku (2stopy) tak, aby zbyl jen stream volajícího (1stopa) a uloží upravený soubor pro vysílací systém Dalet na externí síťový disk.</w:t>
      </w:r>
    </w:p>
    <w:p w14:paraId="55CFB111" w14:textId="77777777" w:rsidR="00605B3E" w:rsidRPr="0001282B" w:rsidRDefault="00605B3E" w:rsidP="00605B3E">
      <w:pPr>
        <w:spacing w:before="40" w:after="120" w:line="30" w:lineRule="atLeast"/>
        <w:rPr>
          <w:rFonts w:cs="Arial"/>
          <w:szCs w:val="20"/>
        </w:rPr>
      </w:pPr>
    </w:p>
    <w:p w14:paraId="1BC8AD19" w14:textId="77777777" w:rsidR="00605B3E" w:rsidRPr="0001282B" w:rsidRDefault="005F2764" w:rsidP="00605B3E">
      <w:pPr>
        <w:spacing w:before="40" w:after="120" w:line="30" w:lineRule="atLeast"/>
        <w:rPr>
          <w:rFonts w:cs="Arial"/>
          <w:szCs w:val="20"/>
        </w:rPr>
      </w:pPr>
      <w:r w:rsidRPr="0001282B">
        <w:rPr>
          <w:rFonts w:cs="Arial"/>
          <w:szCs w:val="20"/>
        </w:rPr>
        <w:t>Server CallREC2</w:t>
      </w:r>
    </w:p>
    <w:p w14:paraId="7CA55C57" w14:textId="77777777" w:rsidR="00605B3E" w:rsidRPr="0001282B" w:rsidRDefault="005F2764" w:rsidP="00605B3E">
      <w:pPr>
        <w:spacing w:before="60" w:after="60"/>
        <w:ind w:left="720"/>
        <w:rPr>
          <w:rFonts w:cs="Arial"/>
          <w:szCs w:val="20"/>
          <w:lang w:eastAsia="cs-CZ"/>
        </w:rPr>
      </w:pPr>
      <w:r w:rsidRPr="0001282B">
        <w:rPr>
          <w:rFonts w:cs="Arial"/>
          <w:szCs w:val="20"/>
          <w:lang w:eastAsia="cs-CZ"/>
        </w:rPr>
        <w:t>Nahrávání je prováděno metodou SPAN. Server nahrává všechny hovory do CallCentra ORP (řešení koncesionářských poplatků, atd).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Na serveru běží skript movecalls.sh, který zálohuje (přesouvá) hovory staršího data na /mnt/backup (externí NFS úložiště).</w:t>
      </w:r>
    </w:p>
    <w:p w14:paraId="6ED461A6" w14:textId="77777777" w:rsidR="00605B3E" w:rsidRPr="0001282B" w:rsidRDefault="00605B3E" w:rsidP="00605B3E">
      <w:pPr>
        <w:spacing w:before="60" w:after="60"/>
        <w:ind w:left="720"/>
        <w:rPr>
          <w:rFonts w:cs="Arial"/>
          <w:szCs w:val="20"/>
        </w:rPr>
      </w:pPr>
    </w:p>
    <w:p w14:paraId="64B31ACF" w14:textId="77777777" w:rsidR="00605B3E" w:rsidRPr="0001282B" w:rsidRDefault="005F2764" w:rsidP="00605B3E">
      <w:pPr>
        <w:spacing w:before="40" w:after="120" w:line="30" w:lineRule="atLeast"/>
        <w:rPr>
          <w:rFonts w:cs="Arial"/>
          <w:szCs w:val="20"/>
        </w:rPr>
      </w:pPr>
      <w:r w:rsidRPr="0001282B">
        <w:rPr>
          <w:rFonts w:cs="Arial"/>
          <w:szCs w:val="20"/>
        </w:rPr>
        <w:t>Server CallREC3</w:t>
      </w:r>
    </w:p>
    <w:p w14:paraId="46185AA1" w14:textId="77777777" w:rsidR="00605B3E" w:rsidRPr="0001282B" w:rsidRDefault="005F2764" w:rsidP="00605B3E">
      <w:pPr>
        <w:spacing w:before="60" w:after="60"/>
        <w:ind w:left="720"/>
        <w:rPr>
          <w:rFonts w:cs="Arial"/>
          <w:szCs w:val="20"/>
        </w:rPr>
      </w:pPr>
      <w:r w:rsidRPr="0001282B">
        <w:rPr>
          <w:rFonts w:cs="Arial"/>
          <w:szCs w:val="20"/>
          <w:lang w:eastAsia="cs-CZ"/>
        </w:rPr>
        <w:t>Nahrávání je prováděno metodou SPAN. Server nahrává stejné hovory jako CallREC1, ale není použit prerecording, a proto nahrává všechny hovory.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Jedná se o backup server pro CallREC1 pro případ, že uživatel zapomene potvrdit nahrávání hovoru, nebo v případě selhání serveru CakllREC1, SOX, případně některého ze skriptů.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Tento server není spojen s žádným externím serverem</w:t>
      </w:r>
      <w:r w:rsidRPr="0001282B">
        <w:rPr>
          <w:rFonts w:cs="Arial"/>
          <w:szCs w:val="20"/>
        </w:rPr>
        <w:t xml:space="preserve">. </w:t>
      </w:r>
      <w:r w:rsidRPr="0001282B">
        <w:rPr>
          <w:rFonts w:cs="Arial"/>
          <w:szCs w:val="20"/>
          <w:lang w:eastAsia="cs-CZ"/>
        </w:rPr>
        <w:t>Uživatelé si sami stahují dané hovory v případě potřeby z tohoto serveru pomocí webového rozhraní.</w:t>
      </w:r>
    </w:p>
    <w:p w14:paraId="2F59ADC1" w14:textId="77777777" w:rsidR="00605B3E" w:rsidRPr="0001282B" w:rsidRDefault="00605B3E" w:rsidP="00605B3E">
      <w:pPr>
        <w:spacing w:before="60" w:after="60"/>
        <w:ind w:left="1080" w:hanging="360"/>
        <w:rPr>
          <w:rFonts w:cs="Arial"/>
          <w:szCs w:val="20"/>
        </w:rPr>
      </w:pPr>
    </w:p>
    <w:p w14:paraId="1E6B81BC" w14:textId="77777777" w:rsidR="00605B3E" w:rsidRPr="0001282B" w:rsidRDefault="005F2764" w:rsidP="00605B3E">
      <w:pPr>
        <w:spacing w:before="40" w:after="120" w:line="30" w:lineRule="atLeast"/>
        <w:rPr>
          <w:rFonts w:cs="Arial"/>
          <w:szCs w:val="20"/>
        </w:rPr>
      </w:pPr>
      <w:r w:rsidRPr="0001282B">
        <w:rPr>
          <w:rFonts w:cs="Arial"/>
          <w:szCs w:val="20"/>
        </w:rPr>
        <w:t>Server CallREC4</w:t>
      </w:r>
    </w:p>
    <w:p w14:paraId="1D5CBAC1" w14:textId="77777777" w:rsidR="00605B3E" w:rsidRPr="0001282B" w:rsidRDefault="005F2764" w:rsidP="00605B3E">
      <w:pPr>
        <w:spacing w:before="60" w:after="60"/>
        <w:ind w:left="720"/>
        <w:rPr>
          <w:rFonts w:cs="Arial"/>
          <w:szCs w:val="20"/>
          <w:lang w:eastAsia="cs-CZ"/>
        </w:rPr>
      </w:pPr>
      <w:r w:rsidRPr="0001282B">
        <w:rPr>
          <w:rFonts w:cs="Arial"/>
          <w:szCs w:val="20"/>
          <w:lang w:eastAsia="cs-CZ"/>
        </w:rPr>
        <w:t>Nahrávání je prováděno metodou SPAN. Server je používán pouze pro nahrávání volajících s dopravními informacemi do dispečinku Zelené vlny 24/7/365.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Dispečer přijme hovor, který se začne automaticky nahrávat a během toho vyplní informaci o dopravní události v systému VARS.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Po ukončení hovoru se v systému VARS zobrazí právě nahraný hovor a ten se k dané události ručně přiřazuje.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Systém VARS má okamžitý síťový přístup ke složce /opt/callrec/data/calls, do níž může i zapisovat s využitím SAMBA protokolu. Redaktor může daný hovor sestříhat, dopsat text a odbavit do vysílání.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K daným hovorům mají přístup i uživatelé s patřičným oprávněním pouze pro čtení pomocí nasdíleného síťového disku.</w:t>
      </w:r>
      <w:r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  <w:lang w:eastAsia="cs-CZ"/>
        </w:rPr>
        <w:t>Pokud dispečer není k dispozici, telefonát se nahraje na záznamník prostřednictvím UCCX serveru a je poslán mailem jako příloha na SOX server. Ten daný spoubor uloží do složky /opt/callrec/data/calls na CallREC4 serveru. Na serveru běží skript movecalls.sh, který zálohuje (přesouvá) hovory staršího data na /mnt/backup (externí NAS úložiště).</w:t>
      </w:r>
    </w:p>
    <w:p w14:paraId="09752D19" w14:textId="77777777" w:rsidR="00605B3E" w:rsidRPr="0001282B" w:rsidRDefault="00605B3E" w:rsidP="00605B3E">
      <w:pPr>
        <w:spacing w:before="60" w:after="60"/>
        <w:ind w:left="720"/>
        <w:rPr>
          <w:rFonts w:cs="Arial"/>
          <w:szCs w:val="20"/>
        </w:rPr>
      </w:pPr>
    </w:p>
    <w:p w14:paraId="6F4FC749" w14:textId="77777777" w:rsidR="00605B3E" w:rsidRPr="0001282B" w:rsidRDefault="005F2764" w:rsidP="00605B3E">
      <w:pPr>
        <w:rPr>
          <w:rFonts w:cs="Arial"/>
          <w:szCs w:val="20"/>
          <w:u w:val="single"/>
        </w:rPr>
      </w:pPr>
      <w:r w:rsidRPr="0001282B">
        <w:rPr>
          <w:rFonts w:cs="Arial"/>
          <w:szCs w:val="20"/>
          <w:u w:val="single"/>
        </w:rPr>
        <w:t>Požadovaný postup upgrade:</w:t>
      </w:r>
    </w:p>
    <w:p w14:paraId="629D25FE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Revize funkcionality custom skriptu</w:t>
      </w:r>
    </w:p>
    <w:p w14:paraId="41C75F75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Upřesnění HW specifikace pro nové servery (vytvoření serverů zajistí zadavatel)</w:t>
      </w:r>
    </w:p>
    <w:p w14:paraId="18A5F1B5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Instalace EQM na připravené nové virtuální servery</w:t>
      </w:r>
    </w:p>
    <w:p w14:paraId="31367D4E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Přenesení konfigurace ze starých serverů na nové</w:t>
      </w:r>
    </w:p>
    <w:p w14:paraId="1271D6EE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Instalace upraveného/nového scriptu</w:t>
      </w:r>
    </w:p>
    <w:p w14:paraId="344F27C7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Testování nahrávání</w:t>
      </w:r>
    </w:p>
    <w:p w14:paraId="5BB5C36D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Testování custom skriptu</w:t>
      </w:r>
    </w:p>
    <w:p w14:paraId="67170709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lastRenderedPageBreak/>
        <w:t>Převedení nových serverů do produkce</w:t>
      </w:r>
    </w:p>
    <w:p w14:paraId="7975C752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Migrace dat ze stávajících serverů na nové servery</w:t>
      </w:r>
    </w:p>
    <w:p w14:paraId="366C99F0" w14:textId="77777777" w:rsidR="00605B3E" w:rsidRPr="0001282B" w:rsidRDefault="005F2764" w:rsidP="00605B3E">
      <w:pPr>
        <w:pStyle w:val="Odstavecseseznamem"/>
        <w:rPr>
          <w:rFonts w:cs="Arial"/>
          <w:szCs w:val="20"/>
        </w:rPr>
      </w:pPr>
      <w:r w:rsidRPr="0001282B">
        <w:rPr>
          <w:rFonts w:cs="Arial"/>
          <w:szCs w:val="20"/>
        </w:rPr>
        <w:t>(po ukončení migrace dat a DB záznamů bude možnost odstavení starých nahrávacích serverů)</w:t>
      </w:r>
    </w:p>
    <w:p w14:paraId="7F5A5D7B" w14:textId="77777777" w:rsidR="00605B3E" w:rsidRPr="0001282B" w:rsidRDefault="005F2764" w:rsidP="00605B3E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Aktualizace dat v CMDB</w:t>
      </w:r>
    </w:p>
    <w:p w14:paraId="48C13AF5" w14:textId="77777777" w:rsidR="00605B3E" w:rsidRPr="0001282B" w:rsidRDefault="005F2764" w:rsidP="00605B3E">
      <w:pPr>
        <w:rPr>
          <w:rFonts w:cs="Arial"/>
          <w:szCs w:val="20"/>
          <w:u w:val="single"/>
        </w:rPr>
      </w:pPr>
      <w:r w:rsidRPr="0001282B">
        <w:rPr>
          <w:rFonts w:cs="Arial"/>
          <w:szCs w:val="20"/>
          <w:u w:val="single"/>
        </w:rPr>
        <w:t>Seznam vazeb na okolní systémy:</w:t>
      </w:r>
    </w:p>
    <w:p w14:paraId="37FFABD6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>Vazba na CallREC1, CallREC4, UCCX1/2:</w:t>
      </w:r>
    </w:p>
    <w:p w14:paraId="666FFA9F" w14:textId="77777777" w:rsidR="00605B3E" w:rsidRPr="0001282B" w:rsidRDefault="005F2764" w:rsidP="00605B3E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SOX.cro.cz – Linux server obsahující skripty pro zpracování uložených nahrávek. </w:t>
      </w:r>
    </w:p>
    <w:p w14:paraId="70EE8358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>Vazba na CallREC1:</w:t>
      </w:r>
    </w:p>
    <w:p w14:paraId="0931C228" w14:textId="77777777" w:rsidR="00605B3E" w:rsidRPr="0001282B" w:rsidRDefault="005F2764" w:rsidP="00605B3E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Dalet FS server – Windows Server vzdáleně mapovaný z důvodu ukládání nahrávek do vysílání. </w:t>
      </w:r>
    </w:p>
    <w:p w14:paraId="54F21D52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>Vazba na CallREC3 a CallREC4:</w:t>
      </w:r>
    </w:p>
    <w:p w14:paraId="675BB3BF" w14:textId="77777777" w:rsidR="00605B3E" w:rsidRPr="0001282B" w:rsidRDefault="005F2764" w:rsidP="00605B3E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NAS úložiště – zálohování starých nahrávek.</w:t>
      </w:r>
    </w:p>
    <w:p w14:paraId="440B81E0" w14:textId="77777777" w:rsidR="00605B3E" w:rsidRPr="0001282B" w:rsidRDefault="005F2764" w:rsidP="00605B3E">
      <w:pPr>
        <w:rPr>
          <w:rFonts w:cs="Arial"/>
          <w:b/>
          <w:szCs w:val="20"/>
          <w:u w:val="single"/>
        </w:rPr>
      </w:pPr>
      <w:r w:rsidRPr="0001282B">
        <w:rPr>
          <w:rFonts w:cs="Arial"/>
          <w:b/>
          <w:szCs w:val="20"/>
          <w:u w:val="single"/>
        </w:rPr>
        <w:t xml:space="preserve">Poznámka: </w:t>
      </w:r>
    </w:p>
    <w:p w14:paraId="08823FE7" w14:textId="77777777" w:rsidR="00605B3E" w:rsidRPr="0001282B" w:rsidRDefault="005F2764" w:rsidP="00605B3E">
      <w:pPr>
        <w:rPr>
          <w:rFonts w:cs="Arial"/>
          <w:b/>
          <w:szCs w:val="20"/>
          <w:u w:val="single"/>
        </w:rPr>
      </w:pPr>
      <w:r w:rsidRPr="0001282B">
        <w:rPr>
          <w:rFonts w:cs="Arial"/>
          <w:szCs w:val="20"/>
        </w:rPr>
        <w:t xml:space="preserve">Všechny servery jsou pod placenou podporou CISCO/ZOOM Int. </w:t>
      </w:r>
    </w:p>
    <w:p w14:paraId="07DA2603" w14:textId="14238B42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Pro pracovníky </w:t>
      </w:r>
      <w:r w:rsidR="00B21AB1">
        <w:rPr>
          <w:rFonts w:cs="Arial"/>
          <w:szCs w:val="20"/>
        </w:rPr>
        <w:t>prodávajícího</w:t>
      </w:r>
      <w:r w:rsidRPr="0001282B">
        <w:rPr>
          <w:rFonts w:cs="Arial"/>
          <w:szCs w:val="20"/>
        </w:rPr>
        <w:t xml:space="preserve">, kteří budou realizovat konfigurační práce, zřídí </w:t>
      </w:r>
      <w:r w:rsidR="00B21AB1">
        <w:rPr>
          <w:rFonts w:cs="Arial"/>
          <w:szCs w:val="20"/>
        </w:rPr>
        <w:t>kupující (zadavatel)</w:t>
      </w:r>
      <w:r w:rsidR="00B21AB1" w:rsidRPr="0001282B">
        <w:rPr>
          <w:rFonts w:cs="Arial"/>
          <w:szCs w:val="20"/>
        </w:rPr>
        <w:t xml:space="preserve"> </w:t>
      </w:r>
      <w:r w:rsidRPr="0001282B">
        <w:rPr>
          <w:rFonts w:cs="Arial"/>
          <w:szCs w:val="20"/>
        </w:rPr>
        <w:t xml:space="preserve">vzdálený přístup k VM serverům a routerům přes VPN </w:t>
      </w:r>
      <w:r w:rsidR="00B21AB1">
        <w:rPr>
          <w:rFonts w:cs="Arial"/>
          <w:szCs w:val="20"/>
        </w:rPr>
        <w:t>kupujícího (zadavatele)</w:t>
      </w:r>
      <w:r w:rsidRPr="0001282B">
        <w:rPr>
          <w:rFonts w:cs="Arial"/>
          <w:szCs w:val="20"/>
        </w:rPr>
        <w:t xml:space="preserve">. </w:t>
      </w:r>
    </w:p>
    <w:p w14:paraId="56F0F131" w14:textId="77777777" w:rsidR="00605B3E" w:rsidRPr="0001282B" w:rsidRDefault="005F2764" w:rsidP="00605B3E">
      <w:pPr>
        <w:rPr>
          <w:rFonts w:cs="Arial"/>
          <w:szCs w:val="20"/>
        </w:rPr>
      </w:pPr>
      <w:r w:rsidRPr="0001282B">
        <w:rPr>
          <w:rFonts w:cs="Arial"/>
          <w:szCs w:val="20"/>
        </w:rPr>
        <w:t xml:space="preserve">Dodací podmínky: </w:t>
      </w:r>
    </w:p>
    <w:p w14:paraId="7461D62A" w14:textId="77777777" w:rsidR="00605B3E" w:rsidRDefault="005F2764" w:rsidP="00605B3E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01282B">
        <w:rPr>
          <w:rFonts w:cs="Arial"/>
          <w:szCs w:val="20"/>
        </w:rPr>
        <w:t>realizace dodávky do 6 měsíců od účinnosti smlouvy.</w:t>
      </w:r>
    </w:p>
    <w:p w14:paraId="686202A4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130C3150" w14:textId="77777777" w:rsidR="00FF1E52" w:rsidRDefault="005F2764" w:rsidP="00FF1E52">
      <w:pPr>
        <w:pStyle w:val="SubjectName-ContractCzechRadio"/>
        <w:rPr>
          <w:color w:val="auto"/>
        </w:rPr>
      </w:pPr>
      <w:r>
        <w:rPr>
          <w:color w:val="auto"/>
        </w:rPr>
        <w:t xml:space="preserve">Kontakty pro řešení požadavků: </w:t>
      </w:r>
    </w:p>
    <w:p w14:paraId="55CC7479" w14:textId="77777777" w:rsidR="00FF1E52" w:rsidRPr="00DC18BF" w:rsidRDefault="005F2764" w:rsidP="00FF1E52">
      <w:pPr>
        <w:pStyle w:val="SubjectName-ContractCzechRadio"/>
        <w:rPr>
          <w:color w:val="auto"/>
        </w:rPr>
      </w:pPr>
      <w:r>
        <w:rPr>
          <w:color w:val="auto"/>
        </w:rPr>
        <w:t xml:space="preserve">tel.: </w:t>
      </w:r>
      <w:r w:rsidRPr="00D73CD0">
        <w:rPr>
          <w:rFonts w:cs="Arial"/>
          <w:szCs w:val="20"/>
        </w:rPr>
        <w:t>[</w:t>
      </w:r>
      <w:r w:rsidRPr="00D73CD0">
        <w:rPr>
          <w:rFonts w:cs="Arial"/>
          <w:szCs w:val="20"/>
          <w:highlight w:val="yellow"/>
        </w:rPr>
        <w:t>DOPLNIT</w:t>
      </w:r>
      <w:r w:rsidRPr="00D73CD0">
        <w:rPr>
          <w:rFonts w:cs="Arial"/>
          <w:szCs w:val="20"/>
        </w:rPr>
        <w:t>]</w:t>
      </w:r>
      <w:r w:rsidRPr="00DC18BF">
        <w:rPr>
          <w:color w:val="auto"/>
        </w:rPr>
        <w:tab/>
      </w:r>
    </w:p>
    <w:p w14:paraId="1F9D1875" w14:textId="77777777" w:rsidR="00605B3E" w:rsidRPr="00FF1E52" w:rsidRDefault="005F2764" w:rsidP="00FF1E5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szCs w:val="20"/>
        </w:rPr>
      </w:pPr>
      <w:r w:rsidRPr="00FF1E52">
        <w:rPr>
          <w:b/>
        </w:rPr>
        <w:t xml:space="preserve">e-mail: </w:t>
      </w:r>
      <w:r w:rsidRPr="00FF1E52">
        <w:rPr>
          <w:rFonts w:cs="Arial"/>
          <w:b/>
          <w:szCs w:val="20"/>
        </w:rPr>
        <w:t>[</w:t>
      </w:r>
      <w:r w:rsidRPr="00FF1E52">
        <w:rPr>
          <w:rFonts w:cs="Arial"/>
          <w:b/>
          <w:szCs w:val="20"/>
          <w:highlight w:val="yellow"/>
        </w:rPr>
        <w:t>DOPLNIT</w:t>
      </w:r>
      <w:r w:rsidRPr="00FF1E52">
        <w:rPr>
          <w:rFonts w:cs="Arial"/>
          <w:b/>
          <w:szCs w:val="20"/>
        </w:rPr>
        <w:t>]</w:t>
      </w:r>
    </w:p>
    <w:p w14:paraId="68BFF374" w14:textId="77777777" w:rsidR="00605B3E" w:rsidRPr="00FF1E52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szCs w:val="20"/>
        </w:rPr>
      </w:pPr>
    </w:p>
    <w:p w14:paraId="26EB96C3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70386B7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1D53E616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6AE9809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630B5407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44A38AAD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510BEB89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5157B4B2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2CBBE6E8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F962EBE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7F8C0E67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B118E63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2B90474E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590C3EEC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45D6B76E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5947CCAD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2840142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0D3116D9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2F463C74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489FBC4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2C8C6EF0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2288B3C6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71656A73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5AB1AE78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6D7F12A0" w14:textId="77777777" w:rsidR="00605B3E" w:rsidRDefault="00605B3E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</w:p>
    <w:p w14:paraId="3EFA6695" w14:textId="77777777" w:rsidR="00605B3E" w:rsidRPr="00605B3E" w:rsidRDefault="005F2764" w:rsidP="00605B3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szCs w:val="20"/>
        </w:rPr>
      </w:pPr>
      <w:r w:rsidRPr="00605B3E">
        <w:rPr>
          <w:rFonts w:cs="Arial"/>
          <w:b/>
          <w:szCs w:val="20"/>
        </w:rPr>
        <w:t>Cenová specifikace</w:t>
      </w:r>
    </w:p>
    <w:p w14:paraId="273E2FAE" w14:textId="77777777" w:rsidR="00605B3E" w:rsidRPr="0001282B" w:rsidRDefault="00605B3E" w:rsidP="00605B3E">
      <w:pPr>
        <w:rPr>
          <w:rFonts w:cs="Arial"/>
          <w:szCs w:val="20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2980"/>
        <w:gridCol w:w="760"/>
        <w:gridCol w:w="1580"/>
        <w:gridCol w:w="1460"/>
      </w:tblGrid>
      <w:tr w:rsidR="00564F41" w14:paraId="002D4A23" w14:textId="77777777" w:rsidTr="00605B3E">
        <w:trPr>
          <w:trHeight w:val="6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FFFA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Mfr Part #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E487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C63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ks/MD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A13A7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Cena v Kč/ks/MD bez DPH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0BCF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</w:tr>
      <w:tr w:rsidR="00564F41" w14:paraId="687B91D7" w14:textId="77777777" w:rsidTr="00605B3E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D95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ISR4331-V/K9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7C848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Cisco ISR 4331 UC Bundle, PVDM4-32, UC License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ED3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992DB8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B92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085E97C2" w14:textId="77777777" w:rsidTr="00605B3E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E289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NIM-2MFT-T1/E1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7E29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 port Multiflex Trunk Voice/Clear-channel Data T1/E1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9CF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5AD6A3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2C8B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320B6457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96FD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PVDM4-64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3383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64-channel DSP module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0CFF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15556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FDD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2502835E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52B87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3D6A7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BE7AD7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B7075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1723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564F41" w14:paraId="013EF7AB" w14:textId="77777777" w:rsidTr="00605B3E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651E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240A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Konfigurace a nasazení hlasových bran (MD)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3FD5C1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C2AAA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DF65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19599B56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003A8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9282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59F6E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21B33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3E0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564F41" w14:paraId="7D0AC287" w14:textId="77777777" w:rsidTr="00605B3E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E618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Hardware Part #: ISR4331-V/K9        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F4DE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Remote Support and parts BusHrsxNBD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D3CB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17095B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D69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20435592" w14:textId="77777777" w:rsidTr="00605B3E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5C249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DDSP-UPTS-PartsOnlyBusHrsxNBD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B2D2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Service Period: 1 year(s).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4F372F" w14:textId="77777777" w:rsidR="00605B3E" w:rsidRPr="00605B3E" w:rsidRDefault="00605B3E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EB00" w14:textId="77777777" w:rsidR="00605B3E" w:rsidRPr="00605B3E" w:rsidRDefault="00605B3E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528B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564F41" w14:paraId="1B4160FA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688E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F992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Service Annual Rate: 4.730,00.</w:t>
            </w:r>
          </w:p>
        </w:tc>
        <w:tc>
          <w:tcPr>
            <w:tcW w:w="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A126732" w14:textId="77777777" w:rsidR="00605B3E" w:rsidRPr="00605B3E" w:rsidRDefault="00605B3E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CBB1" w14:textId="77777777" w:rsidR="00605B3E" w:rsidRPr="00605B3E" w:rsidRDefault="00605B3E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4009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564F41" w14:paraId="46AC609A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22A2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7805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Contract covers 1 device(s)</w:t>
            </w:r>
          </w:p>
        </w:tc>
        <w:tc>
          <w:tcPr>
            <w:tcW w:w="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528A15" w14:textId="77777777" w:rsidR="00605B3E" w:rsidRPr="00605B3E" w:rsidRDefault="00605B3E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7F54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D69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564F41" w14:paraId="07865420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2CB4F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E8DF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8DE4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4F1D5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6BB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564F41" w14:paraId="17A29E03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F58A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858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Upgrade VM serverů Cisco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501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C0E668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0723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2C5ED5AF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99D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3175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Upgrade VM serverů ZOOM Int.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2E5E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2BB65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5063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05B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0,00</w:t>
            </w:r>
          </w:p>
        </w:tc>
      </w:tr>
      <w:tr w:rsidR="00564F41" w14:paraId="7702935E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86DD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9E390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BCFB9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CBFD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F6C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05B3E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564F41" w14:paraId="0DE15FFB" w14:textId="77777777" w:rsidTr="00605B3E">
        <w:trPr>
          <w:trHeight w:val="300"/>
        </w:trPr>
        <w:tc>
          <w:tcPr>
            <w:tcW w:w="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C790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AFEF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34CC1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3C7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64F41" w14:paraId="10854AB0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BC84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DFBA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A22E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FC71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653A95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0%</w:t>
            </w:r>
          </w:p>
        </w:tc>
      </w:tr>
      <w:tr w:rsidR="00564F41" w14:paraId="6E5D1A3C" w14:textId="77777777" w:rsidTr="00605B3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EF7BC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2D12B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F51B6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E8CF5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64AD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564F41" w14:paraId="0A671840" w14:textId="77777777" w:rsidTr="00605B3E">
        <w:trPr>
          <w:trHeight w:val="300"/>
        </w:trPr>
        <w:tc>
          <w:tcPr>
            <w:tcW w:w="4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46464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BF5B7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E5FD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DC52" w14:textId="77777777" w:rsidR="00605B3E" w:rsidRPr="00605B3E" w:rsidRDefault="005F2764" w:rsidP="00605B3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05B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14:paraId="3019F64A" w14:textId="77777777" w:rsidR="00605B3E" w:rsidRPr="00605B3E" w:rsidRDefault="00605B3E" w:rsidP="00605B3E">
      <w:pPr>
        <w:pStyle w:val="SubjectSpecification-ContractCzechRadio"/>
      </w:pPr>
    </w:p>
    <w:p w14:paraId="6F0A40B5" w14:textId="77777777" w:rsidR="00605B3E" w:rsidRDefault="00605B3E" w:rsidP="0006458B">
      <w:pPr>
        <w:pStyle w:val="SubjectName-ContractCzechRadio"/>
        <w:jc w:val="center"/>
        <w:rPr>
          <w:color w:val="auto"/>
        </w:rPr>
      </w:pPr>
    </w:p>
    <w:p w14:paraId="7761590F" w14:textId="77777777" w:rsidR="00605B3E" w:rsidRDefault="00605B3E" w:rsidP="00605B3E">
      <w:pPr>
        <w:pStyle w:val="SubjectSpecification-ContractCzechRadio"/>
      </w:pPr>
    </w:p>
    <w:p w14:paraId="6CA297A5" w14:textId="77777777" w:rsidR="00605B3E" w:rsidRDefault="00605B3E" w:rsidP="00605B3E">
      <w:pPr>
        <w:pStyle w:val="SubjectSpecification-ContractCzechRadio"/>
      </w:pPr>
    </w:p>
    <w:p w14:paraId="34A0973E" w14:textId="77777777" w:rsidR="00605B3E" w:rsidRDefault="00605B3E" w:rsidP="00605B3E">
      <w:pPr>
        <w:pStyle w:val="SubjectSpecification-ContractCzechRadio"/>
      </w:pPr>
    </w:p>
    <w:p w14:paraId="0FD6FA92" w14:textId="77777777" w:rsidR="00605B3E" w:rsidRDefault="00605B3E" w:rsidP="00605B3E">
      <w:pPr>
        <w:pStyle w:val="SubjectSpecification-ContractCzechRadio"/>
      </w:pPr>
    </w:p>
    <w:p w14:paraId="45576CBC" w14:textId="77777777" w:rsidR="00605B3E" w:rsidRDefault="00605B3E" w:rsidP="00605B3E">
      <w:pPr>
        <w:pStyle w:val="SubjectSpecification-ContractCzechRadio"/>
      </w:pPr>
    </w:p>
    <w:p w14:paraId="45F33CE4" w14:textId="77777777" w:rsidR="00605B3E" w:rsidRDefault="00605B3E" w:rsidP="00605B3E">
      <w:pPr>
        <w:pStyle w:val="SubjectSpecification-ContractCzechRadio"/>
      </w:pPr>
    </w:p>
    <w:p w14:paraId="1F73D371" w14:textId="77777777" w:rsidR="00605B3E" w:rsidRDefault="00605B3E" w:rsidP="00605B3E">
      <w:pPr>
        <w:pStyle w:val="SubjectSpecification-ContractCzechRadio"/>
      </w:pPr>
    </w:p>
    <w:p w14:paraId="39835D02" w14:textId="77777777" w:rsidR="00605B3E" w:rsidRDefault="00605B3E" w:rsidP="00605B3E">
      <w:pPr>
        <w:pStyle w:val="SubjectSpecification-ContractCzechRadio"/>
      </w:pPr>
    </w:p>
    <w:p w14:paraId="7F93F016" w14:textId="77777777" w:rsidR="00605B3E" w:rsidRDefault="00605B3E" w:rsidP="00605B3E">
      <w:pPr>
        <w:pStyle w:val="SubjectSpecification-ContractCzechRadio"/>
      </w:pPr>
    </w:p>
    <w:p w14:paraId="696E7E71" w14:textId="77777777" w:rsidR="00605B3E" w:rsidRDefault="00605B3E" w:rsidP="00605B3E">
      <w:pPr>
        <w:pStyle w:val="SubjectSpecification-ContractCzechRadio"/>
      </w:pPr>
    </w:p>
    <w:p w14:paraId="4EF59808" w14:textId="77777777" w:rsidR="00605B3E" w:rsidRDefault="00605B3E" w:rsidP="00605B3E">
      <w:pPr>
        <w:pStyle w:val="SubjectSpecification-ContractCzechRadio"/>
      </w:pPr>
    </w:p>
    <w:p w14:paraId="3ED642B9" w14:textId="77777777" w:rsidR="00605B3E" w:rsidRDefault="00605B3E" w:rsidP="00605B3E">
      <w:pPr>
        <w:pStyle w:val="SubjectSpecification-ContractCzechRadio"/>
      </w:pPr>
    </w:p>
    <w:p w14:paraId="3CCA888D" w14:textId="77777777" w:rsidR="00605B3E" w:rsidRDefault="00605B3E" w:rsidP="00605B3E">
      <w:pPr>
        <w:pStyle w:val="SubjectSpecification-ContractCzechRadio"/>
      </w:pPr>
    </w:p>
    <w:p w14:paraId="40E55ECB" w14:textId="77777777" w:rsidR="00605B3E" w:rsidRDefault="00605B3E" w:rsidP="00605B3E">
      <w:pPr>
        <w:pStyle w:val="SubjectSpecification-ContractCzechRadio"/>
      </w:pPr>
    </w:p>
    <w:p w14:paraId="3A7255DB" w14:textId="77777777" w:rsidR="00605B3E" w:rsidRDefault="00605B3E" w:rsidP="00605B3E">
      <w:pPr>
        <w:pStyle w:val="SubjectSpecification-ContractCzechRadio"/>
      </w:pPr>
    </w:p>
    <w:p w14:paraId="4F5490AB" w14:textId="77777777" w:rsidR="00605B3E" w:rsidRDefault="00605B3E" w:rsidP="00605B3E">
      <w:pPr>
        <w:pStyle w:val="SubjectSpecification-ContractCzechRadio"/>
      </w:pPr>
    </w:p>
    <w:p w14:paraId="7A3ECF5A" w14:textId="77777777" w:rsidR="00605B3E" w:rsidRDefault="00605B3E" w:rsidP="00605B3E">
      <w:pPr>
        <w:pStyle w:val="SubjectSpecification-ContractCzechRadio"/>
      </w:pPr>
    </w:p>
    <w:p w14:paraId="56A5AABA" w14:textId="77777777" w:rsidR="00605B3E" w:rsidRDefault="00605B3E" w:rsidP="00605B3E">
      <w:pPr>
        <w:pStyle w:val="SubjectSpecification-ContractCzechRadio"/>
      </w:pPr>
    </w:p>
    <w:p w14:paraId="2C93854D" w14:textId="77777777" w:rsidR="00605B3E" w:rsidRDefault="00605B3E" w:rsidP="00605B3E">
      <w:pPr>
        <w:pStyle w:val="SubjectSpecification-ContractCzechRadio"/>
      </w:pPr>
    </w:p>
    <w:p w14:paraId="326DABBF" w14:textId="77777777" w:rsidR="00605B3E" w:rsidRPr="00605B3E" w:rsidRDefault="00605B3E" w:rsidP="00605B3E">
      <w:pPr>
        <w:pStyle w:val="SubjectSpecification-ContractCzechRadio"/>
      </w:pPr>
    </w:p>
    <w:p w14:paraId="346290E2" w14:textId="77777777" w:rsidR="0006458B" w:rsidRPr="00D73CD0" w:rsidRDefault="005F2764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>PŘÍLOHA</w:t>
      </w:r>
      <w:r w:rsidR="0034474B" w:rsidRPr="00D73CD0">
        <w:rPr>
          <w:color w:val="auto"/>
        </w:rPr>
        <w:t xml:space="preserve"> č. </w:t>
      </w:r>
      <w:r w:rsidR="00934A67">
        <w:rPr>
          <w:color w:val="auto"/>
        </w:rPr>
        <w:t>2</w:t>
      </w:r>
      <w:r w:rsidRPr="00D73CD0">
        <w:rPr>
          <w:color w:val="auto"/>
        </w:rPr>
        <w:t xml:space="preserve"> – PROTOKOL O ODEVZDÁNÍ</w:t>
      </w:r>
    </w:p>
    <w:p w14:paraId="445D076B" w14:textId="77777777" w:rsidR="0006458B" w:rsidRPr="00D73CD0" w:rsidRDefault="0006458B" w:rsidP="0006458B">
      <w:pPr>
        <w:pStyle w:val="SubjectSpecification-ContractCzechRadio"/>
        <w:rPr>
          <w:color w:val="auto"/>
        </w:rPr>
      </w:pPr>
    </w:p>
    <w:p w14:paraId="3FF25B21" w14:textId="77777777" w:rsidR="0006458B" w:rsidRPr="00D73CD0" w:rsidRDefault="005F2764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4F9ED0DC" w14:textId="77777777" w:rsidR="0006458B" w:rsidRPr="00D73CD0" w:rsidRDefault="005F2764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640BFD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1ABF79E4" w14:textId="77777777" w:rsidR="00E004E1" w:rsidRPr="00D73CD0" w:rsidRDefault="005F2764" w:rsidP="00E004E1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>
        <w:rPr>
          <w:color w:val="auto"/>
        </w:rPr>
        <w:t>Ing. Jiří Truneček</w:t>
      </w:r>
    </w:p>
    <w:p w14:paraId="3EB3DDDF" w14:textId="77777777" w:rsidR="00E004E1" w:rsidRPr="00D73CD0" w:rsidRDefault="005F2764" w:rsidP="00E004E1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>
        <w:rPr>
          <w:color w:val="auto"/>
        </w:rPr>
        <w:t> 221 553 195</w:t>
      </w:r>
    </w:p>
    <w:p w14:paraId="155376C7" w14:textId="77777777" w:rsidR="00E004E1" w:rsidRPr="00D73CD0" w:rsidRDefault="005F2764" w:rsidP="00E004E1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>
        <w:rPr>
          <w:color w:val="auto"/>
        </w:rPr>
        <w:t>Jiri.Trunecek</w:t>
      </w:r>
      <w:r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3E005DB3" w14:textId="77777777" w:rsidR="0006458B" w:rsidRPr="00D73CD0" w:rsidRDefault="005F2764" w:rsidP="00E004E1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 xml:space="preserve"> </w:t>
      </w:r>
    </w:p>
    <w:p w14:paraId="2F1778B7" w14:textId="77777777" w:rsidR="0006458B" w:rsidRPr="00D73CD0" w:rsidRDefault="005F2764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14:paraId="327ED268" w14:textId="77777777" w:rsidR="0006458B" w:rsidRPr="00D73CD0" w:rsidRDefault="0006458B" w:rsidP="0006458B"/>
    <w:p w14:paraId="465AB606" w14:textId="77777777" w:rsidR="0006458B" w:rsidRPr="00D73CD0" w:rsidRDefault="005F2764" w:rsidP="0006458B">
      <w:r w:rsidRPr="00D73CD0">
        <w:t>a</w:t>
      </w:r>
    </w:p>
    <w:p w14:paraId="2105E0A5" w14:textId="77777777" w:rsidR="0006458B" w:rsidRPr="00D73CD0" w:rsidRDefault="0006458B" w:rsidP="0006458B"/>
    <w:p w14:paraId="7987D2F5" w14:textId="77777777" w:rsidR="0006458B" w:rsidRPr="00D73CD0" w:rsidRDefault="005F2764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14:paraId="6AB509F8" w14:textId="77777777" w:rsidR="0006458B" w:rsidRPr="00D73CD0" w:rsidRDefault="005F2764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640BFD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14:paraId="3E4C70CC" w14:textId="77777777" w:rsidR="0006458B" w:rsidRPr="00D73CD0" w:rsidRDefault="005F2764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59005B3" w14:textId="77777777" w:rsidR="0006458B" w:rsidRPr="00D73CD0" w:rsidRDefault="005F2764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137515C" w14:textId="77777777" w:rsidR="00FB6736" w:rsidRPr="00D73CD0" w:rsidRDefault="005F2764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14:paraId="52390C24" w14:textId="77777777" w:rsidR="0006458B" w:rsidRPr="00D73CD0" w:rsidRDefault="005F2764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14:paraId="7193931F" w14:textId="77777777"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4580087E" w14:textId="77777777" w:rsidR="0079034E" w:rsidRPr="00D73CD0" w:rsidRDefault="005F2764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14:paraId="5BD2A9E8" w14:textId="77777777" w:rsidR="00731E1C" w:rsidRPr="00D73CD0" w:rsidRDefault="005F2764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14:paraId="3BCD04D8" w14:textId="77777777" w:rsidR="0079034E" w:rsidRPr="00D73CD0" w:rsidRDefault="005F2764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14:paraId="433FAAF6" w14:textId="77777777" w:rsidR="00731E1C" w:rsidRPr="00D73CD0" w:rsidRDefault="00731E1C" w:rsidP="0023258C">
      <w:pPr>
        <w:pStyle w:val="Heading-Number-ContractCzechRadio"/>
        <w:rPr>
          <w:color w:val="auto"/>
        </w:rPr>
      </w:pPr>
    </w:p>
    <w:p w14:paraId="7C8E66B2" w14:textId="77777777" w:rsidR="0079034E" w:rsidRPr="00D73CD0" w:rsidRDefault="005F2764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14:paraId="7E06B7DE" w14:textId="77777777" w:rsidR="0079034E" w:rsidRPr="00D73CD0" w:rsidRDefault="005F2764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14:paraId="62C8AD91" w14:textId="77777777" w:rsidR="0079034E" w:rsidRPr="00D73CD0" w:rsidRDefault="005F2764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47B77F7F" w14:textId="77777777" w:rsidR="0079034E" w:rsidRPr="00D73CD0" w:rsidRDefault="005F2764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65A31396" w14:textId="77777777" w:rsidR="0079034E" w:rsidRPr="00D73CD0" w:rsidRDefault="005F2764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64F41" w14:paraId="036EBC07" w14:textId="77777777" w:rsidTr="008D7C03">
        <w:trPr>
          <w:jc w:val="center"/>
        </w:trPr>
        <w:tc>
          <w:tcPr>
            <w:tcW w:w="3974" w:type="dxa"/>
          </w:tcPr>
          <w:p w14:paraId="3C334346" w14:textId="77777777" w:rsidR="0079034E" w:rsidRPr="00D73CD0" w:rsidRDefault="005F2764" w:rsidP="00934A6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934A67">
              <w:t>Praze</w:t>
            </w:r>
            <w:r w:rsidRPr="00D73CD0">
              <w:t xml:space="preserve"> dne </w:t>
            </w:r>
            <w:r w:rsidR="00934A67">
              <w:t>………………..</w:t>
            </w:r>
          </w:p>
        </w:tc>
        <w:tc>
          <w:tcPr>
            <w:tcW w:w="3964" w:type="dxa"/>
          </w:tcPr>
          <w:p w14:paraId="15A8AFD8" w14:textId="77777777" w:rsidR="0079034E" w:rsidRPr="00D73CD0" w:rsidRDefault="005F276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564F41" w14:paraId="50C66FA6" w14:textId="77777777" w:rsidTr="008D7C03">
        <w:trPr>
          <w:jc w:val="center"/>
        </w:trPr>
        <w:tc>
          <w:tcPr>
            <w:tcW w:w="3974" w:type="dxa"/>
          </w:tcPr>
          <w:p w14:paraId="4A3001C1" w14:textId="77777777" w:rsidR="0079034E" w:rsidRPr="00D73CD0" w:rsidRDefault="005F2764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14:paraId="2EC01F35" w14:textId="77777777" w:rsidR="008D7C03" w:rsidRPr="00934A67" w:rsidRDefault="005F276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34A67">
              <w:rPr>
                <w:rFonts w:cs="Arial"/>
                <w:b/>
                <w:szCs w:val="20"/>
              </w:rPr>
              <w:t>Jiří Truneček</w:t>
            </w:r>
          </w:p>
          <w:p w14:paraId="1B7A02C8" w14:textId="77777777" w:rsidR="008D7C03" w:rsidRPr="00D73CD0" w:rsidRDefault="005F2764" w:rsidP="00934A6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34A67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32C973EC" w14:textId="77777777" w:rsidR="0079034E" w:rsidRPr="00D73CD0" w:rsidRDefault="005F2764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14:paraId="7570E039" w14:textId="77777777" w:rsidR="008D7C03" w:rsidRPr="00D73CD0" w:rsidRDefault="005F276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0656F374" w14:textId="77777777" w:rsidR="008D7C03" w:rsidRPr="00D73CD0" w:rsidRDefault="005F2764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7B60A38" w14:textId="77777777"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68A67" w14:textId="77777777" w:rsidR="00262783" w:rsidRDefault="00262783">
      <w:pPr>
        <w:spacing w:line="240" w:lineRule="auto"/>
      </w:pPr>
      <w:r>
        <w:separator/>
      </w:r>
    </w:p>
  </w:endnote>
  <w:endnote w:type="continuationSeparator" w:id="0">
    <w:p w14:paraId="012812EE" w14:textId="77777777" w:rsidR="00262783" w:rsidRDefault="002627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C49BB" w14:textId="77777777" w:rsidR="005F2764" w:rsidRDefault="005F276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78FE1B" wp14:editId="16B91B6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47A766" w14:textId="49B27F83" w:rsidR="005F2764" w:rsidRPr="00727BE2" w:rsidRDefault="0026278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F276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F1B18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F2764" w:rsidRPr="00FF1E52">
                                <w:fldChar w:fldCharType="begin"/>
                              </w:r>
                              <w:r w:rsidR="005F2764">
                                <w:instrText xml:space="preserve"> NUMPAGES   \* MERGEFORMAT </w:instrText>
                              </w:r>
                              <w:r w:rsidR="005F2764" w:rsidRPr="00FF1E52">
                                <w:fldChar w:fldCharType="separate"/>
                              </w:r>
                              <w:r w:rsidR="00FF1B18" w:rsidRPr="00FF1B18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5F2764" w:rsidRPr="00FF1E5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8FE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B47A766" w14:textId="49B27F83" w:rsidR="005F2764" w:rsidRPr="00727BE2" w:rsidRDefault="0026278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F276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F276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F276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F1B18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5F276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F276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F2764" w:rsidRPr="00FF1E52">
                          <w:fldChar w:fldCharType="begin"/>
                        </w:r>
                        <w:r w:rsidR="005F2764">
                          <w:instrText xml:space="preserve"> NUMPAGES   \* MERGEFORMAT </w:instrText>
                        </w:r>
                        <w:r w:rsidR="005F2764" w:rsidRPr="00FF1E52">
                          <w:fldChar w:fldCharType="separate"/>
                        </w:r>
                        <w:r w:rsidR="00FF1B18" w:rsidRPr="00FF1B18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5F2764" w:rsidRPr="00FF1E5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8238" w14:textId="77777777" w:rsidR="005F2764" w:rsidRPr="00B5596D" w:rsidRDefault="005F276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FC8EFC" wp14:editId="780649F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B2C3E" w14:textId="2D86D859" w:rsidR="005F2764" w:rsidRPr="00727BE2" w:rsidRDefault="0026278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5F276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F1B1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5F276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5F276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5F276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5F276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FF1B18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5F276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FC8E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1CB2C3E" w14:textId="2D86D859" w:rsidR="005F2764" w:rsidRPr="00727BE2" w:rsidRDefault="0026278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5F276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5F276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5F276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F1B1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5F276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5F276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5F276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5F276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5F276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FF1B18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5F276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FEA40" w14:textId="77777777" w:rsidR="00262783" w:rsidRDefault="00262783">
      <w:pPr>
        <w:spacing w:line="240" w:lineRule="auto"/>
      </w:pPr>
      <w:r>
        <w:separator/>
      </w:r>
    </w:p>
  </w:footnote>
  <w:footnote w:type="continuationSeparator" w:id="0">
    <w:p w14:paraId="51F819B3" w14:textId="77777777" w:rsidR="00262783" w:rsidRDefault="002627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02E5C" w14:textId="77777777" w:rsidR="005F2764" w:rsidRDefault="005F276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46FDA640" wp14:editId="0BDFC44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066CF" w14:textId="77777777" w:rsidR="005F2764" w:rsidRDefault="005F276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5C8D0A" wp14:editId="379B9DF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5EB86" w14:textId="77777777" w:rsidR="005F2764" w:rsidRPr="00321BCC" w:rsidRDefault="005F276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5C8D0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515EB86" w14:textId="77777777" w:rsidR="005F2764" w:rsidRPr="00321BCC" w:rsidRDefault="005F276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806C9D7" wp14:editId="677A2C2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32183065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095605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6B02FF7"/>
    <w:multiLevelType w:val="hybridMultilevel"/>
    <w:tmpl w:val="080632F4"/>
    <w:lvl w:ilvl="0" w:tplc="140EBB76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23FA8512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95A09F82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BFBC175E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B784EA84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4FB4FABC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BE22C798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9CB8E7A6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5FC698F2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8B9316D"/>
    <w:multiLevelType w:val="hybridMultilevel"/>
    <w:tmpl w:val="6CE87B3A"/>
    <w:lvl w:ilvl="0" w:tplc="534E4B24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1C7E7A58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190EB41A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DA64CD00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FCBAFB64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C962298A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1E121D34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A7B45420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C270D6D6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A70CF0A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56440A2C" w:tentative="1">
      <w:start w:val="1"/>
      <w:numFmt w:val="lowerLetter"/>
      <w:lvlText w:val="%2."/>
      <w:lvlJc w:val="left"/>
      <w:pPr>
        <w:ind w:left="1392" w:hanging="360"/>
      </w:pPr>
    </w:lvl>
    <w:lvl w:ilvl="2" w:tplc="880C9378" w:tentative="1">
      <w:start w:val="1"/>
      <w:numFmt w:val="lowerRoman"/>
      <w:lvlText w:val="%3."/>
      <w:lvlJc w:val="right"/>
      <w:pPr>
        <w:ind w:left="2112" w:hanging="180"/>
      </w:pPr>
    </w:lvl>
    <w:lvl w:ilvl="3" w:tplc="E0A0EFC0" w:tentative="1">
      <w:start w:val="1"/>
      <w:numFmt w:val="decimal"/>
      <w:lvlText w:val="%4."/>
      <w:lvlJc w:val="left"/>
      <w:pPr>
        <w:ind w:left="2832" w:hanging="360"/>
      </w:pPr>
    </w:lvl>
    <w:lvl w:ilvl="4" w:tplc="5CC8BB68" w:tentative="1">
      <w:start w:val="1"/>
      <w:numFmt w:val="lowerLetter"/>
      <w:lvlText w:val="%5."/>
      <w:lvlJc w:val="left"/>
      <w:pPr>
        <w:ind w:left="3552" w:hanging="360"/>
      </w:pPr>
    </w:lvl>
    <w:lvl w:ilvl="5" w:tplc="056EBCB4" w:tentative="1">
      <w:start w:val="1"/>
      <w:numFmt w:val="lowerRoman"/>
      <w:lvlText w:val="%6."/>
      <w:lvlJc w:val="right"/>
      <w:pPr>
        <w:ind w:left="4272" w:hanging="180"/>
      </w:pPr>
    </w:lvl>
    <w:lvl w:ilvl="6" w:tplc="DAE8A50C" w:tentative="1">
      <w:start w:val="1"/>
      <w:numFmt w:val="decimal"/>
      <w:lvlText w:val="%7."/>
      <w:lvlJc w:val="left"/>
      <w:pPr>
        <w:ind w:left="4992" w:hanging="360"/>
      </w:pPr>
    </w:lvl>
    <w:lvl w:ilvl="7" w:tplc="69068224" w:tentative="1">
      <w:start w:val="1"/>
      <w:numFmt w:val="lowerLetter"/>
      <w:lvlText w:val="%8."/>
      <w:lvlJc w:val="left"/>
      <w:pPr>
        <w:ind w:left="5712" w:hanging="360"/>
      </w:pPr>
    </w:lvl>
    <w:lvl w:ilvl="8" w:tplc="3EC2006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4C466F3"/>
    <w:multiLevelType w:val="hybridMultilevel"/>
    <w:tmpl w:val="930229B2"/>
    <w:lvl w:ilvl="0" w:tplc="49025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B6219A" w:tentative="1">
      <w:start w:val="1"/>
      <w:numFmt w:val="lowerLetter"/>
      <w:lvlText w:val="%2."/>
      <w:lvlJc w:val="left"/>
      <w:pPr>
        <w:ind w:left="1440" w:hanging="360"/>
      </w:pPr>
    </w:lvl>
    <w:lvl w:ilvl="2" w:tplc="5B3A5602" w:tentative="1">
      <w:start w:val="1"/>
      <w:numFmt w:val="lowerRoman"/>
      <w:lvlText w:val="%3."/>
      <w:lvlJc w:val="right"/>
      <w:pPr>
        <w:ind w:left="2160" w:hanging="180"/>
      </w:pPr>
    </w:lvl>
    <w:lvl w:ilvl="3" w:tplc="1DBC0746" w:tentative="1">
      <w:start w:val="1"/>
      <w:numFmt w:val="decimal"/>
      <w:lvlText w:val="%4."/>
      <w:lvlJc w:val="left"/>
      <w:pPr>
        <w:ind w:left="2880" w:hanging="360"/>
      </w:pPr>
    </w:lvl>
    <w:lvl w:ilvl="4" w:tplc="4DD45744" w:tentative="1">
      <w:start w:val="1"/>
      <w:numFmt w:val="lowerLetter"/>
      <w:lvlText w:val="%5."/>
      <w:lvlJc w:val="left"/>
      <w:pPr>
        <w:ind w:left="3600" w:hanging="360"/>
      </w:pPr>
    </w:lvl>
    <w:lvl w:ilvl="5" w:tplc="1F3C9AE4" w:tentative="1">
      <w:start w:val="1"/>
      <w:numFmt w:val="lowerRoman"/>
      <w:lvlText w:val="%6."/>
      <w:lvlJc w:val="right"/>
      <w:pPr>
        <w:ind w:left="4320" w:hanging="180"/>
      </w:pPr>
    </w:lvl>
    <w:lvl w:ilvl="6" w:tplc="B132377E" w:tentative="1">
      <w:start w:val="1"/>
      <w:numFmt w:val="decimal"/>
      <w:lvlText w:val="%7."/>
      <w:lvlJc w:val="left"/>
      <w:pPr>
        <w:ind w:left="5040" w:hanging="360"/>
      </w:pPr>
    </w:lvl>
    <w:lvl w:ilvl="7" w:tplc="3BCC9204" w:tentative="1">
      <w:start w:val="1"/>
      <w:numFmt w:val="lowerLetter"/>
      <w:lvlText w:val="%8."/>
      <w:lvlJc w:val="left"/>
      <w:pPr>
        <w:ind w:left="5760" w:hanging="360"/>
      </w:pPr>
    </w:lvl>
    <w:lvl w:ilvl="8" w:tplc="50F8C1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20692"/>
    <w:multiLevelType w:val="hybridMultilevel"/>
    <w:tmpl w:val="8B0272AE"/>
    <w:lvl w:ilvl="0" w:tplc="63843628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7B4CA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DC71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4B8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5A43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9AA9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AB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ACDC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4012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C602B528">
      <w:start w:val="1"/>
      <w:numFmt w:val="lowerLetter"/>
      <w:lvlText w:val="%1)"/>
      <w:lvlJc w:val="left"/>
      <w:pPr>
        <w:ind w:left="720" w:hanging="360"/>
      </w:pPr>
    </w:lvl>
    <w:lvl w:ilvl="1" w:tplc="4EB0501C">
      <w:start w:val="1"/>
      <w:numFmt w:val="lowerLetter"/>
      <w:lvlText w:val="%2."/>
      <w:lvlJc w:val="left"/>
      <w:pPr>
        <w:ind w:left="1440" w:hanging="360"/>
      </w:pPr>
    </w:lvl>
    <w:lvl w:ilvl="2" w:tplc="A788A45E">
      <w:start w:val="1"/>
      <w:numFmt w:val="lowerRoman"/>
      <w:lvlText w:val="%3."/>
      <w:lvlJc w:val="right"/>
      <w:pPr>
        <w:ind w:left="2160" w:hanging="180"/>
      </w:pPr>
    </w:lvl>
    <w:lvl w:ilvl="3" w:tplc="529CAB68">
      <w:start w:val="1"/>
      <w:numFmt w:val="decimal"/>
      <w:lvlText w:val="%4."/>
      <w:lvlJc w:val="left"/>
      <w:pPr>
        <w:ind w:left="2880" w:hanging="360"/>
      </w:pPr>
    </w:lvl>
    <w:lvl w:ilvl="4" w:tplc="4622EC8A">
      <w:start w:val="1"/>
      <w:numFmt w:val="lowerLetter"/>
      <w:lvlText w:val="%5."/>
      <w:lvlJc w:val="left"/>
      <w:pPr>
        <w:ind w:left="3600" w:hanging="360"/>
      </w:pPr>
    </w:lvl>
    <w:lvl w:ilvl="5" w:tplc="EF4E32DE">
      <w:start w:val="1"/>
      <w:numFmt w:val="lowerRoman"/>
      <w:lvlText w:val="%6."/>
      <w:lvlJc w:val="right"/>
      <w:pPr>
        <w:ind w:left="4320" w:hanging="180"/>
      </w:pPr>
    </w:lvl>
    <w:lvl w:ilvl="6" w:tplc="EE340246">
      <w:start w:val="1"/>
      <w:numFmt w:val="decimal"/>
      <w:lvlText w:val="%7."/>
      <w:lvlJc w:val="left"/>
      <w:pPr>
        <w:ind w:left="5040" w:hanging="360"/>
      </w:pPr>
    </w:lvl>
    <w:lvl w:ilvl="7" w:tplc="7AB29FFE">
      <w:start w:val="1"/>
      <w:numFmt w:val="lowerLetter"/>
      <w:lvlText w:val="%8."/>
      <w:lvlJc w:val="left"/>
      <w:pPr>
        <w:ind w:left="5760" w:hanging="360"/>
      </w:pPr>
    </w:lvl>
    <w:lvl w:ilvl="8" w:tplc="4E50AB6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4683F69"/>
    <w:multiLevelType w:val="hybridMultilevel"/>
    <w:tmpl w:val="44DE7C72"/>
    <w:lvl w:ilvl="0" w:tplc="F0B60C9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760E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62CA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A8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C459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769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6C9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742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947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96032"/>
    <w:multiLevelType w:val="hybridMultilevel"/>
    <w:tmpl w:val="33F22A1C"/>
    <w:lvl w:ilvl="0" w:tplc="534E4B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463C0B"/>
    <w:multiLevelType w:val="hybridMultilevel"/>
    <w:tmpl w:val="5FB62878"/>
    <w:lvl w:ilvl="0" w:tplc="534E4B2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 w15:restartNumberingAfterBreak="0">
    <w:nsid w:val="737B0EE7"/>
    <w:multiLevelType w:val="hybridMultilevel"/>
    <w:tmpl w:val="B440AF98"/>
    <w:lvl w:ilvl="0" w:tplc="E0FCBB4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61A928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A88CD9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852592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63443D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6EE783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CA4D78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269D0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750ED9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034754"/>
    <w:multiLevelType w:val="hybridMultilevel"/>
    <w:tmpl w:val="26AE2A3A"/>
    <w:lvl w:ilvl="0" w:tplc="E4DA128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BE80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CA75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244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A49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6CD8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CE1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07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E64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65E47"/>
    <w:multiLevelType w:val="hybridMultilevel"/>
    <w:tmpl w:val="224649E0"/>
    <w:lvl w:ilvl="0" w:tplc="33E8CCF2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4541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7EC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C12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C09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27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B0E9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AB5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1284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386849"/>
    <w:multiLevelType w:val="hybridMultilevel"/>
    <w:tmpl w:val="A2D40C0A"/>
    <w:lvl w:ilvl="0" w:tplc="90442378">
      <w:start w:val="1"/>
      <w:numFmt w:val="decimal"/>
      <w:pStyle w:val="Podnadpis-modr"/>
      <w:lvlText w:val="%1."/>
      <w:lvlJc w:val="left"/>
      <w:pPr>
        <w:ind w:left="360" w:hanging="360"/>
      </w:pPr>
      <w:rPr>
        <w:rFonts w:hint="default"/>
      </w:rPr>
    </w:lvl>
    <w:lvl w:ilvl="1" w:tplc="36B87944">
      <w:start w:val="1"/>
      <w:numFmt w:val="lowerLetter"/>
      <w:lvlText w:val="%2."/>
      <w:lvlJc w:val="left"/>
      <w:pPr>
        <w:ind w:left="1080" w:hanging="360"/>
      </w:pPr>
    </w:lvl>
    <w:lvl w:ilvl="2" w:tplc="86CCD13E" w:tentative="1">
      <w:start w:val="1"/>
      <w:numFmt w:val="lowerRoman"/>
      <w:lvlText w:val="%3."/>
      <w:lvlJc w:val="right"/>
      <w:pPr>
        <w:ind w:left="1800" w:hanging="180"/>
      </w:pPr>
    </w:lvl>
    <w:lvl w:ilvl="3" w:tplc="BD3C3EAC" w:tentative="1">
      <w:start w:val="1"/>
      <w:numFmt w:val="decimal"/>
      <w:lvlText w:val="%4."/>
      <w:lvlJc w:val="left"/>
      <w:pPr>
        <w:ind w:left="2520" w:hanging="360"/>
      </w:pPr>
    </w:lvl>
    <w:lvl w:ilvl="4" w:tplc="C7525002" w:tentative="1">
      <w:start w:val="1"/>
      <w:numFmt w:val="lowerLetter"/>
      <w:lvlText w:val="%5."/>
      <w:lvlJc w:val="left"/>
      <w:pPr>
        <w:ind w:left="3240" w:hanging="360"/>
      </w:pPr>
    </w:lvl>
    <w:lvl w:ilvl="5" w:tplc="B450DA50" w:tentative="1">
      <w:start w:val="1"/>
      <w:numFmt w:val="lowerRoman"/>
      <w:lvlText w:val="%6."/>
      <w:lvlJc w:val="right"/>
      <w:pPr>
        <w:ind w:left="3960" w:hanging="180"/>
      </w:pPr>
    </w:lvl>
    <w:lvl w:ilvl="6" w:tplc="CD98DCA4" w:tentative="1">
      <w:start w:val="1"/>
      <w:numFmt w:val="decimal"/>
      <w:lvlText w:val="%7."/>
      <w:lvlJc w:val="left"/>
      <w:pPr>
        <w:ind w:left="4680" w:hanging="360"/>
      </w:pPr>
    </w:lvl>
    <w:lvl w:ilvl="7" w:tplc="2D2445DE" w:tentative="1">
      <w:start w:val="1"/>
      <w:numFmt w:val="lowerLetter"/>
      <w:lvlText w:val="%8."/>
      <w:lvlJc w:val="left"/>
      <w:pPr>
        <w:ind w:left="5400" w:hanging="360"/>
      </w:pPr>
    </w:lvl>
    <w:lvl w:ilvl="8" w:tplc="C1F0B4AC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5"/>
  </w:num>
  <w:num w:numId="3">
    <w:abstractNumId w:val="9"/>
  </w:num>
  <w:num w:numId="4">
    <w:abstractNumId w:val="19"/>
  </w:num>
  <w:num w:numId="5">
    <w:abstractNumId w:val="8"/>
  </w:num>
  <w:num w:numId="6">
    <w:abstractNumId w:val="6"/>
  </w:num>
  <w:num w:numId="7">
    <w:abstractNumId w:val="30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2"/>
  </w:num>
  <w:num w:numId="20">
    <w:abstractNumId w:val="34"/>
  </w:num>
  <w:num w:numId="21">
    <w:abstractNumId w:val="14"/>
  </w:num>
  <w:num w:numId="22">
    <w:abstractNumId w:val="20"/>
  </w:num>
  <w:num w:numId="23">
    <w:abstractNumId w:val="31"/>
  </w:num>
  <w:num w:numId="24">
    <w:abstractNumId w:val="21"/>
  </w:num>
  <w:num w:numId="25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3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6"/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7"/>
  </w:num>
  <w:num w:numId="37">
    <w:abstractNumId w:val="17"/>
  </w:num>
  <w:num w:numId="38">
    <w:abstractNumId w:val="7"/>
  </w:num>
  <w:num w:numId="39">
    <w:abstractNumId w:val="18"/>
  </w:num>
  <w:num w:numId="40">
    <w:abstractNumId w:val="33"/>
  </w:num>
  <w:num w:numId="41">
    <w:abstractNumId w:val="32"/>
  </w:num>
  <w:num w:numId="42">
    <w:abstractNumId w:val="35"/>
  </w:num>
  <w:num w:numId="43">
    <w:abstractNumId w:val="29"/>
  </w:num>
  <w:num w:numId="4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282B"/>
    <w:rsid w:val="00013431"/>
    <w:rsid w:val="000173A9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0049"/>
    <w:rsid w:val="002015E7"/>
    <w:rsid w:val="00202C70"/>
    <w:rsid w:val="00204CBF"/>
    <w:rsid w:val="00212195"/>
    <w:rsid w:val="0023258C"/>
    <w:rsid w:val="00240551"/>
    <w:rsid w:val="00243F2C"/>
    <w:rsid w:val="00246DCB"/>
    <w:rsid w:val="0026172A"/>
    <w:rsid w:val="00262783"/>
    <w:rsid w:val="00266009"/>
    <w:rsid w:val="00274011"/>
    <w:rsid w:val="002748B7"/>
    <w:rsid w:val="00295A22"/>
    <w:rsid w:val="002A4CCF"/>
    <w:rsid w:val="002B18A0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6A29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64F41"/>
    <w:rsid w:val="00575A89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2764"/>
    <w:rsid w:val="005F379F"/>
    <w:rsid w:val="005F625D"/>
    <w:rsid w:val="00603C42"/>
    <w:rsid w:val="00605AD7"/>
    <w:rsid w:val="00605B3E"/>
    <w:rsid w:val="00606C9E"/>
    <w:rsid w:val="00622E04"/>
    <w:rsid w:val="006309A2"/>
    <w:rsid w:val="006311D4"/>
    <w:rsid w:val="00640BFD"/>
    <w:rsid w:val="00643791"/>
    <w:rsid w:val="0065041B"/>
    <w:rsid w:val="00670762"/>
    <w:rsid w:val="006736E0"/>
    <w:rsid w:val="00675542"/>
    <w:rsid w:val="00680C24"/>
    <w:rsid w:val="00681E96"/>
    <w:rsid w:val="00682904"/>
    <w:rsid w:val="006907CE"/>
    <w:rsid w:val="006A2D5B"/>
    <w:rsid w:val="006A425C"/>
    <w:rsid w:val="006C306A"/>
    <w:rsid w:val="006C7CC4"/>
    <w:rsid w:val="006D0812"/>
    <w:rsid w:val="006D648C"/>
    <w:rsid w:val="006E14A6"/>
    <w:rsid w:val="006E25CF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0798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7E57"/>
    <w:rsid w:val="00900A72"/>
    <w:rsid w:val="00900A94"/>
    <w:rsid w:val="00901187"/>
    <w:rsid w:val="00905A57"/>
    <w:rsid w:val="00911493"/>
    <w:rsid w:val="0091775D"/>
    <w:rsid w:val="00922C57"/>
    <w:rsid w:val="00924A31"/>
    <w:rsid w:val="00934A67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820DE"/>
    <w:rsid w:val="00A8412E"/>
    <w:rsid w:val="00A93C16"/>
    <w:rsid w:val="00AB1E80"/>
    <w:rsid w:val="00AB30B5"/>
    <w:rsid w:val="00AB345B"/>
    <w:rsid w:val="00AB5003"/>
    <w:rsid w:val="00AB5D02"/>
    <w:rsid w:val="00AC3E5B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1AB1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511F"/>
    <w:rsid w:val="00B87052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2E7D"/>
    <w:rsid w:val="00D73CD0"/>
    <w:rsid w:val="00D77D03"/>
    <w:rsid w:val="00DA3832"/>
    <w:rsid w:val="00DB2CC5"/>
    <w:rsid w:val="00DB5E8D"/>
    <w:rsid w:val="00DC18BF"/>
    <w:rsid w:val="00DC2CF2"/>
    <w:rsid w:val="00DD42A0"/>
    <w:rsid w:val="00DE000D"/>
    <w:rsid w:val="00E004E1"/>
    <w:rsid w:val="00E07F55"/>
    <w:rsid w:val="00E106D2"/>
    <w:rsid w:val="00E152DE"/>
    <w:rsid w:val="00E17BAD"/>
    <w:rsid w:val="00E362E1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144D3"/>
    <w:rsid w:val="00F16577"/>
    <w:rsid w:val="00F2359E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E2E96"/>
    <w:rsid w:val="00FE3167"/>
    <w:rsid w:val="00FF1B18"/>
    <w:rsid w:val="00FF1E52"/>
    <w:rsid w:val="00FF3F39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FE0FF"/>
  <w15:docId w15:val="{A0A80BA7-3217-4298-AE24-AFA5EA5A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link w:val="OdstavecseseznamemChar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5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Podnadpis-modr">
    <w:name w:val="Podnadpis - modrý"/>
    <w:basedOn w:val="Odstavecseseznamem"/>
    <w:link w:val="Podnadpis-modrChar"/>
    <w:qFormat/>
    <w:rsid w:val="00605B3E"/>
    <w:pPr>
      <w:numPr>
        <w:numId w:val="42"/>
      </w:num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after="200" w:line="276" w:lineRule="auto"/>
      <w:contextualSpacing/>
    </w:pPr>
    <w:rPr>
      <w:b/>
      <w:u w:val="single"/>
    </w:rPr>
  </w:style>
  <w:style w:type="character" w:customStyle="1" w:styleId="OdstavecseseznamemChar">
    <w:name w:val="Odstavec se seznamem Char"/>
    <w:aliases w:val="List Paragraph (Czech Radio) Char"/>
    <w:basedOn w:val="Standardnpsmoodstavce"/>
    <w:link w:val="Odstavecseseznamem"/>
    <w:uiPriority w:val="34"/>
    <w:rsid w:val="00605B3E"/>
    <w:rPr>
      <w:rFonts w:ascii="Arial" w:hAnsi="Arial"/>
      <w:sz w:val="20"/>
    </w:rPr>
  </w:style>
  <w:style w:type="character" w:customStyle="1" w:styleId="Podnadpis-modrChar">
    <w:name w:val="Podnadpis - modrý Char"/>
    <w:basedOn w:val="OdstavecseseznamemChar"/>
    <w:link w:val="Podnadpis-modr"/>
    <w:rsid w:val="00605B3E"/>
    <w:rPr>
      <w:rFonts w:ascii="Arial" w:hAnsi="Arial"/>
      <w:b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C52FD54-5D9C-4B18-B5CC-920E237B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3613</Words>
  <Characters>21317</Characters>
  <Application>Microsoft Office Word</Application>
  <DocSecurity>0</DocSecurity>
  <Lines>177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Barášková Petra</cp:lastModifiedBy>
  <cp:revision>8</cp:revision>
  <dcterms:created xsi:type="dcterms:W3CDTF">2021-06-17T08:03:00Z</dcterms:created>
  <dcterms:modified xsi:type="dcterms:W3CDTF">2021-07-12T12:57:00Z</dcterms:modified>
</cp:coreProperties>
</file>